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07" w:rsidRDefault="000602CF">
      <w:pPr>
        <w:pStyle w:val="a0"/>
        <w:rPr>
          <w:rFonts w:ascii="方正黑体简体" w:eastAsia="方正黑体简体" w:cs="方正黑体简体"/>
          <w:sz w:val="28"/>
          <w:szCs w:val="28"/>
        </w:rPr>
      </w:pPr>
      <w:r>
        <w:rPr>
          <w:rFonts w:ascii="方正黑体简体" w:eastAsia="方正黑体简体" w:cs="方正黑体简体" w:hint="eastAsia"/>
          <w:sz w:val="28"/>
          <w:szCs w:val="28"/>
        </w:rPr>
        <w:t>附件3</w:t>
      </w:r>
    </w:p>
    <w:p w:rsidR="00AF7007" w:rsidRDefault="003F5D88">
      <w:pPr>
        <w:pStyle w:val="a0"/>
        <w:rPr>
          <w:rFonts w:ascii="方正黑体简体" w:eastAsia="方正黑体简体" w:cs="方正黑体简体"/>
          <w:sz w:val="28"/>
          <w:szCs w:val="28"/>
        </w:rPr>
      </w:pPr>
      <w:r>
        <w:rPr>
          <w:rFonts w:ascii="方正黑体简体" w:eastAsia="方正黑体简体" w:cs="方正黑体简体" w:hint="eastAsia"/>
          <w:sz w:val="28"/>
          <w:szCs w:val="28"/>
        </w:rPr>
        <w:t>市</w:t>
      </w:r>
      <w:r w:rsidR="000602CF">
        <w:rPr>
          <w:rFonts w:ascii="方正黑体简体" w:eastAsia="方正黑体简体" w:cs="方正黑体简体" w:hint="eastAsia"/>
          <w:sz w:val="28"/>
          <w:szCs w:val="28"/>
        </w:rPr>
        <w:t>政协提案范文一</w:t>
      </w:r>
    </w:p>
    <w:p w:rsidR="00AF7007" w:rsidRDefault="00AF7007">
      <w:pPr>
        <w:pStyle w:val="a0"/>
        <w:rPr>
          <w:rFonts w:ascii="方正黑体简体" w:eastAsia="方正黑体简体" w:cs="方正黑体简体"/>
          <w:sz w:val="28"/>
          <w:szCs w:val="28"/>
        </w:rPr>
      </w:pPr>
    </w:p>
    <w:p w:rsidR="00AF7007" w:rsidRDefault="000602CF">
      <w:pPr>
        <w:spacing w:line="62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hint="eastAsia"/>
          <w:sz w:val="44"/>
          <w:szCs w:val="44"/>
        </w:rPr>
        <w:t>加快对接横琴粤澳深度合作区</w:t>
      </w:r>
      <w:r>
        <w:rPr>
          <w:rFonts w:ascii="Times New Roman" w:eastAsia="方正大标宋简体" w:hAnsi="Times New Roman" w:cs="Times New Roman" w:hint="eastAsia"/>
          <w:sz w:val="44"/>
          <w:szCs w:val="44"/>
        </w:rPr>
        <w:t xml:space="preserve"> </w:t>
      </w:r>
    </w:p>
    <w:p w:rsidR="00AF7007" w:rsidRDefault="000602CF">
      <w:pPr>
        <w:spacing w:line="62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hint="eastAsia"/>
          <w:sz w:val="44"/>
          <w:szCs w:val="44"/>
        </w:rPr>
        <w:t>助力生物医药产业高质量发展</w:t>
      </w:r>
    </w:p>
    <w:p w:rsidR="00AF7007" w:rsidRDefault="000602CF">
      <w:pPr>
        <w:ind w:firstLineChars="200" w:firstLine="64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 xml:space="preserve">　　</w:t>
      </w:r>
    </w:p>
    <w:p w:rsidR="00AF7007" w:rsidRDefault="000602CF">
      <w:pPr>
        <w:spacing w:line="360" w:lineRule="auto"/>
        <w:ind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中共中央、国务院正式发布的《横琴粤澳深度合作区建设总体方案》，提出着眼建设世界一流中医药生产基地和创新高地，优化粤澳合作中医药科技产业园发展路径，建立具有自主知识产权和中国特色的医药创新研发与转化平台。横琴粤澳合作中医药科技产业园是《粤澳合作框架协议》的首个落地项目，围绕“国际级中医药质量控制基地”和“国际健康产业交流平台”两个核心目标，整合广东中医药医疗、科技产业优势及澳门科研能力和人才，打造“中医药产业与文化一带一路的国际窗口”，现已注册企业200多家，涉及生物医药、中医药等多个领域。目前，生物医药产业发展迎来重大机遇。随着我国在人口老龄化、人们健康观念革新等影响下，生物医药产业快速增长，产业势头强劲，发展空间巨大。我们要增强机遇意识，加速创新，提升层级，不断夯实生物医药产业基础。江门市第十四次党代会提出要发展壮大四大战略性支柱产业集群，做大做强生物医药与健康产业。我们要抢抓政策机遇，打造粤港澳大湾区生物医药产业化高地，将横琴深合区中医药科技创新优势和我市产业优势相结合，助力我市生物医药产业高质量发展。</w:t>
      </w:r>
    </w:p>
    <w:p w:rsidR="00AF7007" w:rsidRDefault="000602CF">
      <w:pPr>
        <w:spacing w:line="360" w:lineRule="auto"/>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一、产业现状</w:t>
      </w:r>
    </w:p>
    <w:p w:rsidR="00AF7007" w:rsidRDefault="000602CF">
      <w:pPr>
        <w:spacing w:line="360" w:lineRule="auto"/>
        <w:ind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2020年江门市生物制药（含医疗器械）行业规模以上工业总产值34.78亿元，规模以上企业34家，取得《药品生产许可证》的企业22家。产业链各环节包括中药材种植、原料药、医药中间体、药用辅料、化学药、中药医药等领域。</w:t>
      </w:r>
    </w:p>
    <w:p w:rsidR="00AF7007" w:rsidRDefault="000602CF">
      <w:pPr>
        <w:spacing w:line="360" w:lineRule="auto"/>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二、存在问题</w:t>
      </w:r>
    </w:p>
    <w:p w:rsidR="00AF7007" w:rsidRDefault="000602CF">
      <w:pPr>
        <w:spacing w:line="360" w:lineRule="auto"/>
        <w:ind w:firstLine="640"/>
        <w:rPr>
          <w:rFonts w:ascii="方正仿宋简体" w:eastAsia="方正仿宋简体" w:hAnsi="方正仿宋简体" w:cs="方正仿宋简体"/>
          <w:sz w:val="32"/>
          <w:szCs w:val="32"/>
        </w:rPr>
      </w:pPr>
      <w:r>
        <w:rPr>
          <w:rFonts w:ascii="方正楷体简体" w:eastAsia="方正楷体简体" w:hAnsi="方正楷体简体" w:cs="方正楷体简体" w:hint="eastAsia"/>
          <w:sz w:val="32"/>
          <w:szCs w:val="32"/>
        </w:rPr>
        <w:t>（一）没有生物医药产业集聚产业园区，行业缺乏龙头企业带动。</w:t>
      </w:r>
      <w:r>
        <w:rPr>
          <w:rFonts w:ascii="方正仿宋简体" w:eastAsia="方正仿宋简体" w:hAnsi="方正仿宋简体" w:cs="方正仿宋简体" w:hint="eastAsia"/>
          <w:sz w:val="32"/>
          <w:szCs w:val="32"/>
        </w:rPr>
        <w:t>我市尚未建成相对集聚的生物医药产业园区，省级以上生物医药研发中心、高端人才、技术、研发物资配套在辖区内尚未形成有效供给。虽然有恒健制药、特一药业等生物医药龙头企业，但生物医药制造企业规模普遍偏小，上下游产业融合程度低，没有形成产业链条的优势。</w:t>
      </w:r>
    </w:p>
    <w:p w:rsidR="00AF7007" w:rsidRDefault="000602CF">
      <w:pPr>
        <w:spacing w:line="360" w:lineRule="auto"/>
        <w:ind w:firstLine="640"/>
        <w:rPr>
          <w:rFonts w:ascii="方正仿宋简体" w:eastAsia="方正仿宋简体" w:hAnsi="方正仿宋简体" w:cs="方正仿宋简体"/>
          <w:sz w:val="32"/>
          <w:szCs w:val="32"/>
        </w:rPr>
      </w:pPr>
      <w:r>
        <w:rPr>
          <w:rFonts w:ascii="方正楷体简体" w:eastAsia="方正楷体简体" w:hAnsi="方正楷体简体" w:cs="方正楷体简体" w:hint="eastAsia"/>
          <w:sz w:val="32"/>
          <w:szCs w:val="32"/>
        </w:rPr>
        <w:t>（二）政策扶持力度不够大。</w:t>
      </w:r>
      <w:r>
        <w:rPr>
          <w:rFonts w:ascii="方正仿宋简体" w:eastAsia="方正仿宋简体" w:hAnsi="方正仿宋简体" w:cs="方正仿宋简体" w:hint="eastAsia"/>
          <w:sz w:val="32"/>
          <w:szCs w:val="32"/>
        </w:rPr>
        <w:t>还没有专门针对生物医药产业发展的激励政策，现行财政扶持政策扶持力度与广深地区相比存在较大差距，企业研发获得的财政扶持资金十分有限。</w:t>
      </w:r>
    </w:p>
    <w:p w:rsidR="00AF7007" w:rsidRDefault="000602CF">
      <w:pPr>
        <w:spacing w:line="360" w:lineRule="auto"/>
        <w:ind w:firstLine="640"/>
        <w:rPr>
          <w:rFonts w:ascii="方正仿宋简体" w:eastAsia="方正仿宋简体" w:hAnsi="方正仿宋简体" w:cs="方正仿宋简体"/>
          <w:sz w:val="32"/>
          <w:szCs w:val="32"/>
        </w:rPr>
      </w:pPr>
      <w:r>
        <w:rPr>
          <w:rFonts w:ascii="方正楷体简体" w:eastAsia="方正楷体简体" w:hAnsi="方正楷体简体" w:cs="方正楷体简体" w:hint="eastAsia"/>
          <w:sz w:val="32"/>
          <w:szCs w:val="32"/>
        </w:rPr>
        <w:t>（三）产业链短而不强、企业量少质弱。</w:t>
      </w:r>
      <w:r>
        <w:rPr>
          <w:rFonts w:ascii="方正仿宋简体" w:eastAsia="方正仿宋简体" w:hAnsi="方正仿宋简体" w:cs="方正仿宋简体" w:hint="eastAsia"/>
          <w:sz w:val="32"/>
          <w:szCs w:val="32"/>
        </w:rPr>
        <w:t>生物医药企业规模普遍较小、群体不够强壮。行业发展以跟随为主，产业链不完善，断层现象明显。上下游协同能力不足，产品带动性不高，缺乏具有影响力、能够带动和牵引产业集聚发展的“链主”企业。</w:t>
      </w:r>
    </w:p>
    <w:p w:rsidR="00AF7007" w:rsidRDefault="000602CF">
      <w:pPr>
        <w:spacing w:line="360" w:lineRule="auto"/>
        <w:ind w:firstLine="640"/>
        <w:rPr>
          <w:rFonts w:ascii="方正仿宋简体" w:eastAsia="方正仿宋简体" w:hAnsi="方正仿宋简体" w:cs="方正仿宋简体"/>
          <w:sz w:val="32"/>
          <w:szCs w:val="32"/>
        </w:rPr>
      </w:pPr>
      <w:r>
        <w:rPr>
          <w:rFonts w:ascii="方正楷体简体" w:eastAsia="方正楷体简体" w:hAnsi="方正楷体简体" w:cs="方正楷体简体" w:hint="eastAsia"/>
          <w:sz w:val="32"/>
          <w:szCs w:val="32"/>
        </w:rPr>
        <w:t>（四）高端创新平台不足。</w:t>
      </w:r>
      <w:r>
        <w:rPr>
          <w:rFonts w:ascii="方正仿宋简体" w:eastAsia="方正仿宋简体" w:hAnsi="方正仿宋简体" w:cs="方正仿宋简体" w:hint="eastAsia"/>
          <w:sz w:val="32"/>
          <w:szCs w:val="32"/>
        </w:rPr>
        <w:t>虽然布局建设了如泛亚生物工程与健康研究院等生物医药科技创新平台，目前仍处于起步阶段，在科研成果产出、创新人才培养方面的成效不够显著。江</w:t>
      </w:r>
      <w:r>
        <w:rPr>
          <w:rFonts w:ascii="方正仿宋简体" w:eastAsia="方正仿宋简体" w:hAnsi="方正仿宋简体" w:cs="方正仿宋简体" w:hint="eastAsia"/>
          <w:sz w:val="32"/>
          <w:szCs w:val="32"/>
        </w:rPr>
        <w:lastRenderedPageBreak/>
        <w:t>门中医药职业学院科研实力还不够强，培育输出的人才层次还不够高。由于创新资源供应不足，企业自身科研力量薄弱，产学研合作松散，科研成果转化渠道不畅，导致新产品开发进度慢，创新性产品较少。</w:t>
      </w:r>
    </w:p>
    <w:p w:rsidR="00AF7007" w:rsidRDefault="000602CF">
      <w:pPr>
        <w:spacing w:line="360" w:lineRule="auto"/>
        <w:ind w:firstLine="640"/>
        <w:rPr>
          <w:rFonts w:ascii="方正仿宋简体" w:eastAsia="方正仿宋简体" w:hAnsi="方正仿宋简体" w:cs="方正仿宋简体"/>
          <w:sz w:val="32"/>
          <w:szCs w:val="32"/>
        </w:rPr>
      </w:pPr>
      <w:r>
        <w:rPr>
          <w:rFonts w:ascii="方正楷体简体" w:eastAsia="方正楷体简体" w:hAnsi="方正楷体简体" w:cs="方正楷体简体" w:hint="eastAsia"/>
          <w:sz w:val="32"/>
          <w:szCs w:val="32"/>
        </w:rPr>
        <w:t>（五）企业发展受融资制约。</w:t>
      </w:r>
      <w:r>
        <w:rPr>
          <w:rFonts w:ascii="方正仿宋简体" w:eastAsia="方正仿宋简体" w:hAnsi="方正仿宋简体" w:cs="方正仿宋简体" w:hint="eastAsia"/>
          <w:sz w:val="32"/>
          <w:szCs w:val="32"/>
        </w:rPr>
        <w:t>生物技术企业大多数为中小企业，且为高技术行业，无形资产远大于固定资产，没有过多的固定资产作抵押或担保，很难得到银行贷款。社会资本投资于生物医药企业，特别是投资处于种子期或早期阶段的生物技术企业很少。</w:t>
      </w:r>
    </w:p>
    <w:p w:rsidR="00AF7007" w:rsidRDefault="000602CF">
      <w:pPr>
        <w:spacing w:line="360" w:lineRule="auto"/>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三、发展建议</w:t>
      </w:r>
    </w:p>
    <w:p w:rsidR="00AF7007" w:rsidRDefault="000602CF">
      <w:pPr>
        <w:spacing w:line="360" w:lineRule="auto"/>
        <w:ind w:firstLine="640"/>
        <w:rPr>
          <w:rFonts w:ascii="方正仿宋简体" w:eastAsia="方正仿宋简体" w:hAnsi="方正仿宋简体" w:cs="方正仿宋简体"/>
          <w:sz w:val="32"/>
          <w:szCs w:val="32"/>
        </w:rPr>
      </w:pPr>
      <w:r>
        <w:rPr>
          <w:rFonts w:ascii="方正楷体简体" w:eastAsia="方正楷体简体" w:hAnsi="方正楷体简体" w:cs="方正楷体简体" w:hint="eastAsia"/>
          <w:sz w:val="32"/>
          <w:szCs w:val="32"/>
        </w:rPr>
        <w:t>（一）加强产业布局规划,强化空间载体支撑。</w:t>
      </w:r>
      <w:r>
        <w:rPr>
          <w:rFonts w:ascii="方正仿宋简体" w:eastAsia="方正仿宋简体" w:hAnsi="方正仿宋简体" w:cs="方正仿宋简体" w:hint="eastAsia"/>
          <w:sz w:val="32"/>
          <w:szCs w:val="32"/>
        </w:rPr>
        <w:t>依托黄茅海两岸规划建设的珠海—江门大型产业园区，高起点高标准谋划建设生物医药产业园，明确园区发展定位、功能布局、产业体系、产业配套服务等内容，对接粤澳合作中医药科技产业园，打造产业新高地。</w:t>
      </w:r>
    </w:p>
    <w:p w:rsidR="00AF7007" w:rsidRDefault="000602CF">
      <w:pPr>
        <w:spacing w:line="360" w:lineRule="auto"/>
        <w:ind w:firstLine="640"/>
        <w:rPr>
          <w:rFonts w:ascii="方正仿宋简体" w:eastAsia="方正仿宋简体" w:hAnsi="方正仿宋简体" w:cs="方正仿宋简体"/>
          <w:sz w:val="32"/>
          <w:szCs w:val="32"/>
        </w:rPr>
      </w:pPr>
      <w:r>
        <w:rPr>
          <w:rFonts w:ascii="方正楷体简体" w:eastAsia="方正楷体简体" w:hAnsi="方正楷体简体" w:cs="方正楷体简体" w:hint="eastAsia"/>
          <w:sz w:val="32"/>
          <w:szCs w:val="32"/>
        </w:rPr>
        <w:t>（二）优化完善有针对性的产业政策。</w:t>
      </w:r>
      <w:r>
        <w:rPr>
          <w:rFonts w:ascii="方正仿宋简体" w:eastAsia="方正仿宋简体" w:hAnsi="方正仿宋简体" w:cs="方正仿宋简体" w:hint="eastAsia"/>
          <w:sz w:val="32"/>
          <w:szCs w:val="32"/>
        </w:rPr>
        <w:t>要找准制约生物医药产业发展的关键环节与薄弱瓶颈，提供更有针对性、更加精准化的发展对策。如出台《促进生物医药产业高质量发展的若干政策措施》。从产业发展、招商引资、产品开发、审评审批、生产制造、科技创新、金融服务、引才育才等若干方面提出政策扶持措施，形成覆盖产业全链条的“政策包”。</w:t>
      </w:r>
    </w:p>
    <w:p w:rsidR="00AF7007" w:rsidRDefault="000602CF">
      <w:pPr>
        <w:spacing w:line="360" w:lineRule="auto"/>
        <w:ind w:firstLine="640"/>
        <w:rPr>
          <w:rFonts w:ascii="方正仿宋简体" w:eastAsia="方正仿宋简体" w:hAnsi="方正仿宋简体" w:cs="方正仿宋简体"/>
          <w:sz w:val="32"/>
          <w:szCs w:val="32"/>
        </w:rPr>
      </w:pPr>
      <w:r>
        <w:rPr>
          <w:rFonts w:ascii="方正楷体简体" w:eastAsia="方正楷体简体" w:hAnsi="方正楷体简体" w:cs="方正楷体简体" w:hint="eastAsia"/>
          <w:sz w:val="32"/>
          <w:szCs w:val="32"/>
        </w:rPr>
        <w:t>（三）加大对横琴粤澳深度合作区的招商力度，培育生物医药优势产业。</w:t>
      </w:r>
      <w:r>
        <w:rPr>
          <w:rFonts w:ascii="方正仿宋简体" w:eastAsia="方正仿宋简体" w:hAnsi="方正仿宋简体" w:cs="方正仿宋简体" w:hint="eastAsia"/>
          <w:sz w:val="32"/>
          <w:szCs w:val="32"/>
        </w:rPr>
        <w:t>构建“大招商”格局，创新专业化招商模式，</w:t>
      </w:r>
      <w:r>
        <w:rPr>
          <w:rFonts w:ascii="方正仿宋简体" w:eastAsia="方正仿宋简体" w:hAnsi="方正仿宋简体" w:cs="方正仿宋简体" w:hint="eastAsia"/>
          <w:sz w:val="32"/>
          <w:szCs w:val="32"/>
        </w:rPr>
        <w:lastRenderedPageBreak/>
        <w:t>聚焦产业链短板和薄弱环节实施精准招商。探索建设生物医药“横琴总部+江门基地”、“横琴研发+江门生产”深度分工合作示范区。通过“以商招商”吸引产业链上下游企业、配套及关联项目落户江门。</w:t>
      </w:r>
    </w:p>
    <w:p w:rsidR="00AF7007" w:rsidRDefault="000602CF">
      <w:pPr>
        <w:spacing w:line="360" w:lineRule="auto"/>
        <w:ind w:firstLine="640"/>
        <w:rPr>
          <w:rFonts w:ascii="方正仿宋简体" w:eastAsia="方正仿宋简体" w:hAnsi="方正仿宋简体" w:cs="方正仿宋简体"/>
          <w:sz w:val="32"/>
          <w:szCs w:val="32"/>
        </w:rPr>
      </w:pPr>
      <w:r>
        <w:rPr>
          <w:rFonts w:ascii="方正楷体简体" w:eastAsia="方正楷体简体" w:hAnsi="方正楷体简体" w:cs="方正楷体简体" w:hint="eastAsia"/>
          <w:sz w:val="32"/>
          <w:szCs w:val="32"/>
        </w:rPr>
        <w:t>（四）围绕生物医药产业发展需求，加快建设生物医药创新平台。</w:t>
      </w:r>
      <w:r>
        <w:rPr>
          <w:rFonts w:ascii="方正仿宋简体" w:eastAsia="方正仿宋简体" w:hAnsi="方正仿宋简体" w:cs="方正仿宋简体" w:hint="eastAsia"/>
          <w:sz w:val="32"/>
          <w:szCs w:val="32"/>
        </w:rPr>
        <w:t>积极对接香港科技大学、澳门大学和澳门科技大学等港澳高校高端创新资源，组建一批“高精尖”生物医药产学研基地。建立完善生物医药技术成果从研发、孵化到产业化全链条服务体系，促进人才、技术、资金等创新要素向企业集聚，着力培育具有竞争力的创新型企业集群。发挥重大项目资源集聚效应，支持龙头企业牵头组建创新联合体，推动产业链上下游、大中小企业融通创新，促进生物医药产业集聚高质量发展。</w:t>
      </w:r>
    </w:p>
    <w:p w:rsidR="00AF7007" w:rsidRDefault="000602CF">
      <w:pPr>
        <w:spacing w:line="360" w:lineRule="auto"/>
        <w:ind w:firstLine="640"/>
        <w:rPr>
          <w:rFonts w:ascii="方正仿宋简体" w:eastAsia="方正仿宋简体" w:hAnsi="方正仿宋简体" w:cs="方正仿宋简体"/>
          <w:b/>
          <w:bCs/>
          <w:sz w:val="32"/>
          <w:szCs w:val="32"/>
        </w:rPr>
      </w:pPr>
      <w:r>
        <w:rPr>
          <w:rFonts w:ascii="方正楷体简体" w:eastAsia="方正楷体简体" w:hAnsi="方正楷体简体" w:cs="方正楷体简体" w:hint="eastAsia"/>
          <w:sz w:val="32"/>
          <w:szCs w:val="32"/>
        </w:rPr>
        <w:t>（五）创新生物医药金融服务，发挥好政府和市场作用。</w:t>
      </w:r>
      <w:r>
        <w:rPr>
          <w:rFonts w:ascii="方正仿宋简体" w:eastAsia="方正仿宋简体" w:hAnsi="方正仿宋简体" w:cs="方正仿宋简体" w:hint="eastAsia"/>
          <w:sz w:val="32"/>
          <w:szCs w:val="32"/>
        </w:rPr>
        <w:t>发挥财政资金引导撬动作用，支持企业加大创新投入，促进社会资本积极参与生物医药研发、成果产业化。组建国资牵头成立的生物医药类风险投资基金，支持企业加大研发投入，加快临床测试，促进培育优势潜力企业走上资本市场，不断提升生物医药产业的发展能级和核心竞争力。</w:t>
      </w:r>
    </w:p>
    <w:p w:rsidR="00AF7007" w:rsidRDefault="00AF7007">
      <w:pPr>
        <w:rPr>
          <w:rFonts w:ascii="方正仿宋简体" w:eastAsia="方正仿宋简体" w:hAnsi="方正仿宋简体" w:cs="方正仿宋简体"/>
          <w:sz w:val="32"/>
          <w:szCs w:val="32"/>
        </w:rPr>
      </w:pPr>
    </w:p>
    <w:p w:rsidR="00AF7007" w:rsidRDefault="00AF7007">
      <w:pPr>
        <w:pStyle w:val="a0"/>
        <w:rPr>
          <w:rFonts w:ascii="方正仿宋简体" w:eastAsia="方正仿宋简体" w:hAnsi="方正仿宋简体" w:cs="方正仿宋简体"/>
          <w:sz w:val="32"/>
          <w:szCs w:val="32"/>
        </w:rPr>
      </w:pPr>
    </w:p>
    <w:p w:rsidR="00AF7007" w:rsidRDefault="00AF7007">
      <w:pPr>
        <w:pStyle w:val="a0"/>
        <w:rPr>
          <w:rFonts w:ascii="方正仿宋简体" w:eastAsia="方正仿宋简体" w:hAnsi="方正仿宋简体" w:cs="方正仿宋简体"/>
          <w:sz w:val="32"/>
          <w:szCs w:val="32"/>
        </w:rPr>
      </w:pPr>
    </w:p>
    <w:p w:rsidR="00AF7007" w:rsidRDefault="00AF7007">
      <w:pPr>
        <w:pStyle w:val="a0"/>
        <w:rPr>
          <w:rFonts w:ascii="方正仿宋简体" w:eastAsia="方正仿宋简体" w:hAnsi="方正仿宋简体" w:cs="方正仿宋简体" w:hint="eastAsia"/>
          <w:sz w:val="32"/>
          <w:szCs w:val="32"/>
        </w:rPr>
      </w:pPr>
    </w:p>
    <w:p w:rsidR="00C77C53" w:rsidRDefault="00C77C53">
      <w:pPr>
        <w:pStyle w:val="a0"/>
        <w:rPr>
          <w:rFonts w:ascii="方正仿宋简体" w:eastAsia="方正仿宋简体" w:hAnsi="方正仿宋简体" w:cs="方正仿宋简体" w:hint="eastAsia"/>
          <w:sz w:val="32"/>
          <w:szCs w:val="32"/>
        </w:rPr>
      </w:pPr>
    </w:p>
    <w:p w:rsidR="00C77C53" w:rsidRDefault="00C77C53">
      <w:pPr>
        <w:pStyle w:val="a0"/>
        <w:rPr>
          <w:rFonts w:ascii="方正仿宋简体" w:eastAsia="方正仿宋简体" w:hAnsi="方正仿宋简体" w:cs="方正仿宋简体"/>
          <w:sz w:val="32"/>
          <w:szCs w:val="32"/>
        </w:rPr>
      </w:pPr>
    </w:p>
    <w:p w:rsidR="00AF7007" w:rsidRDefault="00C77C53">
      <w:pPr>
        <w:pStyle w:val="a0"/>
        <w:rPr>
          <w:rFonts w:ascii="方正黑体简体" w:eastAsia="方正黑体简体" w:cs="方正黑体简体"/>
          <w:sz w:val="28"/>
          <w:szCs w:val="28"/>
        </w:rPr>
      </w:pPr>
      <w:r>
        <w:rPr>
          <w:rFonts w:ascii="方正黑体简体" w:eastAsia="方正黑体简体" w:cs="方正黑体简体" w:hint="eastAsia"/>
          <w:sz w:val="28"/>
          <w:szCs w:val="28"/>
        </w:rPr>
        <w:lastRenderedPageBreak/>
        <w:t>市</w:t>
      </w:r>
      <w:r w:rsidR="000602CF">
        <w:rPr>
          <w:rFonts w:ascii="方正黑体简体" w:eastAsia="方正黑体简体" w:cs="方正黑体简体" w:hint="eastAsia"/>
          <w:sz w:val="28"/>
          <w:szCs w:val="28"/>
        </w:rPr>
        <w:t>政协提案范文二</w:t>
      </w:r>
    </w:p>
    <w:p w:rsidR="00AF7007" w:rsidRDefault="00AF7007">
      <w:pPr>
        <w:rPr>
          <w:rFonts w:ascii="方正仿宋简体" w:eastAsia="方正仿宋简体" w:hAnsi="方正仿宋简体" w:cs="方正仿宋简体"/>
          <w:sz w:val="32"/>
          <w:szCs w:val="32"/>
        </w:rPr>
      </w:pPr>
    </w:p>
    <w:p w:rsidR="00AF7007" w:rsidRDefault="000602CF">
      <w:pPr>
        <w:spacing w:line="62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hint="eastAsia"/>
          <w:sz w:val="44"/>
          <w:szCs w:val="44"/>
        </w:rPr>
        <w:t>关于加快江门海洋产业高质量发展的建议</w:t>
      </w:r>
    </w:p>
    <w:p w:rsidR="00AF7007" w:rsidRDefault="000602CF">
      <w:pPr>
        <w:ind w:firstLineChars="200" w:firstLine="64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 xml:space="preserve">　</w:t>
      </w:r>
    </w:p>
    <w:p w:rsidR="00AF7007" w:rsidRDefault="000602CF">
      <w:pPr>
        <w:spacing w:line="360" w:lineRule="auto"/>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江门位处广东省沿海经济带，拥有丰富的海洋资源和优越的地理环境，目前全市以海洋资源为依托的养殖业、旅游业、临港产业等均未能形成集约化、规模化、创新性发展模式，有待充分挖掘和利用优势资源，力求将海洋资源优势转化为加快海洋产业高质量发展。</w:t>
      </w:r>
    </w:p>
    <w:p w:rsidR="00AF7007" w:rsidRDefault="000602CF">
      <w:pPr>
        <w:spacing w:line="360" w:lineRule="auto"/>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一、现状和问题</w:t>
      </w:r>
    </w:p>
    <w:p w:rsidR="00AF7007" w:rsidRDefault="000602CF">
      <w:pPr>
        <w:spacing w:line="360" w:lineRule="auto"/>
        <w:ind w:firstLineChars="200" w:firstLine="640"/>
        <w:rPr>
          <w:rFonts w:ascii="方正仿宋简体" w:eastAsia="方正仿宋简体" w:hAnsi="方正仿宋简体" w:cs="方正仿宋简体"/>
          <w:sz w:val="32"/>
          <w:szCs w:val="32"/>
        </w:rPr>
      </w:pPr>
      <w:r>
        <w:rPr>
          <w:rFonts w:ascii="方正楷体简体" w:eastAsia="方正楷体简体" w:hAnsi="方正楷体简体" w:cs="方正楷体简体" w:hint="eastAsia"/>
          <w:sz w:val="32"/>
          <w:szCs w:val="32"/>
        </w:rPr>
        <w:t>（一）传统海洋产业结构单一。</w:t>
      </w:r>
      <w:r>
        <w:rPr>
          <w:rFonts w:ascii="方正仿宋简体" w:eastAsia="方正仿宋简体" w:hAnsi="方正仿宋简体" w:cs="方正仿宋简体" w:hint="eastAsia"/>
          <w:sz w:val="32"/>
          <w:szCs w:val="32"/>
        </w:rPr>
        <w:t>与省内外其他先进城市相比，江门沿海各地的海水养殖业以传统式个体养殖捕捞居多，规模化养殖的大型企业较少，未能形成集约化、规模化、科技化发展。海（水）产品加工能力偏低，总体档次不高，缺少类似“国联”“恒兴”等知名大型品牌加工企业。</w:t>
      </w:r>
    </w:p>
    <w:p w:rsidR="00AF7007" w:rsidRDefault="000602CF">
      <w:pPr>
        <w:spacing w:line="360" w:lineRule="auto"/>
        <w:ind w:firstLineChars="200" w:firstLine="640"/>
        <w:rPr>
          <w:rFonts w:ascii="方正仿宋简体" w:eastAsia="方正仿宋简体" w:hAnsi="方正仿宋简体" w:cs="方正仿宋简体"/>
          <w:sz w:val="32"/>
          <w:szCs w:val="32"/>
        </w:rPr>
      </w:pPr>
      <w:r>
        <w:rPr>
          <w:rFonts w:ascii="方正楷体简体" w:eastAsia="方正楷体简体" w:hAnsi="方正楷体简体" w:cs="方正楷体简体" w:hint="eastAsia"/>
          <w:sz w:val="32"/>
          <w:szCs w:val="32"/>
        </w:rPr>
        <w:t>（二）旅游产业开发缺乏深度。</w:t>
      </w:r>
      <w:r>
        <w:rPr>
          <w:rFonts w:ascii="方正仿宋简体" w:eastAsia="方正仿宋简体" w:hAnsi="方正仿宋简体" w:cs="方正仿宋简体" w:hint="eastAsia"/>
          <w:sz w:val="32"/>
          <w:szCs w:val="32"/>
        </w:rPr>
        <w:t>尽管近年来江门沿海各市（区）、镇以海水、海岸、海岛为特色的旅游产业快速发展，但由于海洋旅游资源开发力度不够，海洋旅游产业普遍停留在观光休闲的初级阶段，“龙头”项目带动不够明显，旅游产品未能得到充分开拓和综合利用，与江门作为海洋大市的旅游形象不相匹配。</w:t>
      </w:r>
    </w:p>
    <w:p w:rsidR="00AF7007" w:rsidRDefault="000602CF">
      <w:pPr>
        <w:spacing w:line="360" w:lineRule="auto"/>
        <w:ind w:firstLineChars="200" w:firstLine="640"/>
        <w:rPr>
          <w:rFonts w:ascii="方正仿宋简体" w:eastAsia="方正仿宋简体" w:hAnsi="方正仿宋简体" w:cs="方正仿宋简体"/>
          <w:sz w:val="32"/>
          <w:szCs w:val="32"/>
        </w:rPr>
      </w:pPr>
      <w:r>
        <w:rPr>
          <w:rFonts w:ascii="方正楷体简体" w:eastAsia="方正楷体简体" w:hAnsi="方正楷体简体" w:cs="方正楷体简体" w:hint="eastAsia"/>
          <w:sz w:val="32"/>
          <w:szCs w:val="32"/>
        </w:rPr>
        <w:t>（三）临港工业产业发展缓慢。</w:t>
      </w:r>
      <w:r>
        <w:rPr>
          <w:rFonts w:ascii="方正仿宋简体" w:eastAsia="方正仿宋简体" w:hAnsi="方正仿宋简体" w:cs="方正仿宋简体" w:hint="eastAsia"/>
          <w:sz w:val="32"/>
          <w:szCs w:val="32"/>
        </w:rPr>
        <w:t>江门拥有绵长的海岸线资源，特别是大广海湾经济区土地面积广阔，临港工业和产业发</w:t>
      </w:r>
      <w:r>
        <w:rPr>
          <w:rFonts w:ascii="方正仿宋简体" w:eastAsia="方正仿宋简体" w:hAnsi="方正仿宋简体" w:cs="方正仿宋简体" w:hint="eastAsia"/>
          <w:sz w:val="32"/>
          <w:szCs w:val="32"/>
        </w:rPr>
        <w:lastRenderedPageBreak/>
        <w:t>展潜力巨大，但受规划编制、功能定位、用海审批、招商引资等因素制约，总体产业发展水平偏低，特别是临港工业发展与我省湛江、惠州等地相比还存在一定差距。</w:t>
      </w:r>
    </w:p>
    <w:p w:rsidR="00AF7007" w:rsidRDefault="000602CF">
      <w:pPr>
        <w:spacing w:line="360" w:lineRule="auto"/>
        <w:ind w:firstLineChars="200" w:firstLine="640"/>
        <w:rPr>
          <w:rFonts w:ascii="方正仿宋简体" w:eastAsia="方正仿宋简体" w:hAnsi="方正仿宋简体" w:cs="方正仿宋简体"/>
          <w:sz w:val="32"/>
          <w:szCs w:val="32"/>
        </w:rPr>
      </w:pPr>
      <w:r>
        <w:rPr>
          <w:rFonts w:ascii="方正楷体简体" w:eastAsia="方正楷体简体" w:hAnsi="方正楷体简体" w:cs="方正楷体简体" w:hint="eastAsia"/>
          <w:sz w:val="32"/>
          <w:szCs w:val="32"/>
        </w:rPr>
        <w:t>（四）港口物流产业相对滞后。</w:t>
      </w:r>
      <w:r>
        <w:rPr>
          <w:rFonts w:ascii="方正仿宋简体" w:eastAsia="方正仿宋简体" w:hAnsi="方正仿宋简体" w:cs="方正仿宋简体" w:hint="eastAsia"/>
          <w:sz w:val="32"/>
          <w:szCs w:val="32"/>
        </w:rPr>
        <w:t>目前江门全市的港口布局以沿内河和西江为主，规模小、航线短，经营远洋的货船少，在集装箱和和外贸运输迅速发展的今天，综合考虑候运时间、中转费用、通关手续、服务水平等因素，企业在开展货运运输时往往“舍近求远”，将广州南沙、深圳盐田等港口作为首选。</w:t>
      </w:r>
    </w:p>
    <w:p w:rsidR="00AF7007" w:rsidRDefault="000602CF">
      <w:pPr>
        <w:spacing w:line="360" w:lineRule="auto"/>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二、意见和建议</w:t>
      </w:r>
    </w:p>
    <w:p w:rsidR="00AF7007" w:rsidRDefault="000602CF">
      <w:pPr>
        <w:spacing w:line="360" w:lineRule="auto"/>
        <w:ind w:firstLineChars="200" w:firstLine="640"/>
        <w:rPr>
          <w:rFonts w:ascii="方正仿宋简体" w:eastAsia="方正仿宋简体" w:hAnsi="方正仿宋简体" w:cs="方正仿宋简体"/>
          <w:sz w:val="32"/>
          <w:szCs w:val="32"/>
        </w:rPr>
      </w:pPr>
      <w:r>
        <w:rPr>
          <w:rFonts w:ascii="方正楷体简体" w:eastAsia="方正楷体简体" w:hAnsi="方正楷体简体" w:cs="方正楷体简体" w:hint="eastAsia"/>
          <w:sz w:val="32"/>
          <w:szCs w:val="32"/>
        </w:rPr>
        <w:t>（一）注重顶层设计，绘好海洋产业蓝图。</w:t>
      </w:r>
      <w:r>
        <w:rPr>
          <w:rFonts w:ascii="方正仿宋简体" w:eastAsia="方正仿宋简体" w:hAnsi="方正仿宋简体" w:cs="方正仿宋简体" w:hint="eastAsia"/>
          <w:sz w:val="32"/>
          <w:szCs w:val="32"/>
        </w:rPr>
        <w:t>以国家和省海洋产业发展“十四五”规划为依托，综合考虑江门地区海洋条件、资源分布、特色优势、环境容量等，聘请专业专家团队，科学编制江门市统筹指导相关县（市、区）编制海洋发展总体规划、功能规划、产业规划等。特别要在明确不同区域海洋发展定位的基础上，结合实际出台具有指导性、系统性的保护和利用规划，按城镇建设、临海工业、港口物流、渔业养殖、观光旅游、保护和预留发展等功能分布等实行分类管理、分类保护、分类开发，形成多层次的开发利用梯队，以促进江门全市海洋产业经济良性循环发展。</w:t>
      </w:r>
    </w:p>
    <w:p w:rsidR="00AF7007" w:rsidRDefault="000602CF">
      <w:pPr>
        <w:spacing w:line="360" w:lineRule="auto"/>
        <w:ind w:firstLineChars="200" w:firstLine="640"/>
        <w:rPr>
          <w:rFonts w:ascii="方正仿宋简体" w:eastAsia="方正仿宋简体" w:hAnsi="方正仿宋简体" w:cs="方正仿宋简体"/>
          <w:sz w:val="32"/>
          <w:szCs w:val="32"/>
        </w:rPr>
      </w:pPr>
      <w:r>
        <w:rPr>
          <w:rFonts w:ascii="方正楷体简体" w:eastAsia="方正楷体简体" w:hAnsi="方正楷体简体" w:cs="方正楷体简体" w:hint="eastAsia"/>
          <w:sz w:val="32"/>
          <w:szCs w:val="32"/>
        </w:rPr>
        <w:t>（二）强化政策支持，推动传统产业升级。</w:t>
      </w:r>
      <w:r>
        <w:rPr>
          <w:rFonts w:ascii="方正仿宋简体" w:eastAsia="方正仿宋简体" w:hAnsi="方正仿宋简体" w:cs="方正仿宋简体" w:hint="eastAsia"/>
          <w:sz w:val="32"/>
          <w:szCs w:val="32"/>
        </w:rPr>
        <w:t>坚持“科技兴海”的发展思路，加快江门海洋产业发展由“传统型”迈向“现代化”。如抓紧研究出台专项政策办法，支持海水养殖、渔业捕捞、产品加工等传统海洋产业“集约”和“抱团”发展。学</w:t>
      </w:r>
      <w:r>
        <w:rPr>
          <w:rFonts w:ascii="方正仿宋简体" w:eastAsia="方正仿宋简体" w:hAnsi="方正仿宋简体" w:cs="方正仿宋简体" w:hint="eastAsia"/>
          <w:sz w:val="32"/>
          <w:szCs w:val="32"/>
        </w:rPr>
        <w:lastRenderedPageBreak/>
        <w:t>习借鉴省内外国家级海洋牧场示范区的发展管理经验，全力开展海洋牧场创建工作，特别要通过政府引导、试点带动、科技创新、规范建设等方式，切实解决用海指标审批、建设资金筹措、海洋环境保护等方面的问题，推动海洋牧场创建与渔企渔户联合发展，与海洋旅游融合发展，与品牌营销协同发展，与生态环境协调发展。</w:t>
      </w:r>
    </w:p>
    <w:p w:rsidR="00AF7007" w:rsidRDefault="000602CF">
      <w:pPr>
        <w:spacing w:line="360" w:lineRule="auto"/>
        <w:ind w:firstLineChars="200" w:firstLine="640"/>
        <w:rPr>
          <w:rFonts w:ascii="方正仿宋简体" w:eastAsia="方正仿宋简体" w:hAnsi="方正仿宋简体" w:cs="方正仿宋简体"/>
          <w:sz w:val="32"/>
          <w:szCs w:val="32"/>
        </w:rPr>
      </w:pPr>
      <w:r>
        <w:rPr>
          <w:rFonts w:ascii="方正楷体简体" w:eastAsia="方正楷体简体" w:hAnsi="方正楷体简体" w:cs="方正楷体简体" w:hint="eastAsia"/>
          <w:sz w:val="32"/>
          <w:szCs w:val="32"/>
        </w:rPr>
        <w:t>（三）坚持示范带动，培育旅游产业龙头。</w:t>
      </w:r>
      <w:r>
        <w:rPr>
          <w:rFonts w:ascii="方正仿宋简体" w:eastAsia="方正仿宋简体" w:hAnsi="方正仿宋简体" w:cs="方正仿宋简体" w:hint="eastAsia"/>
          <w:sz w:val="32"/>
          <w:szCs w:val="32"/>
        </w:rPr>
        <w:t>江门地区海域辽阔、海岛众多、生态优美，特别是川山群岛海域，海洋环境和旅游资源独天得厚，可作为江门市旅游业的“龙头”来打造。建议江门市委市政府在编制空间规划、安排用地指标、优化设施配套、开展项目招商、落实资金筹措方面给予倾斜，在坚持生态优先、绿色发展的前提下，加大统筹支持力度，真正将川山群岛建设成为绿色海岛旅游示范区，打造成为全省乃至全国知名度和影响力的“东方夏威夷”，从而进一步带动整个江门地区的海洋旅游产业高质量发展。</w:t>
      </w:r>
    </w:p>
    <w:p w:rsidR="00AF7007" w:rsidRDefault="000602CF">
      <w:pPr>
        <w:spacing w:line="360" w:lineRule="auto"/>
        <w:ind w:firstLineChars="200" w:firstLine="640"/>
        <w:rPr>
          <w:rFonts w:ascii="方正仿宋简体" w:eastAsia="方正仿宋简体" w:hAnsi="方正仿宋简体" w:cs="方正仿宋简体"/>
          <w:sz w:val="32"/>
          <w:szCs w:val="32"/>
        </w:rPr>
      </w:pPr>
      <w:r>
        <w:rPr>
          <w:rFonts w:ascii="方正楷体简体" w:eastAsia="方正楷体简体" w:hAnsi="方正楷体简体" w:cs="方正楷体简体" w:hint="eastAsia"/>
          <w:sz w:val="32"/>
          <w:szCs w:val="32"/>
        </w:rPr>
        <w:t>（四）完善港口配套，延伸临港产业链条。</w:t>
      </w:r>
      <w:r>
        <w:rPr>
          <w:rFonts w:ascii="方正仿宋简体" w:eastAsia="方正仿宋简体" w:hAnsi="方正仿宋简体" w:cs="方正仿宋简体" w:hint="eastAsia"/>
          <w:sz w:val="32"/>
          <w:szCs w:val="32"/>
        </w:rPr>
        <w:t>一要把加快江门广海湾深水港建设摆上重要议事日程，作为全面融入“双区”建设的重点工程和重要抓手，可学习借鉴茂名港、中山港等港口建设运营的经验做法，加强与广州港、盐田港的交流合作，并统筹全市资源，着力破解政策、规划、资金、建设、运营等方面的局限，实现深水港共建共享共赢。二要有序发展临港工业和物流业，坚持“远谋”和“近攻”相结合，特别要重点支持大广海湾分层次、分步骤推进一批开发潜力大、基础好，对</w:t>
      </w:r>
      <w:r>
        <w:rPr>
          <w:rFonts w:ascii="方正仿宋简体" w:eastAsia="方正仿宋简体" w:hAnsi="方正仿宋简体" w:cs="方正仿宋简体" w:hint="eastAsia"/>
          <w:sz w:val="32"/>
          <w:szCs w:val="32"/>
        </w:rPr>
        <w:lastRenderedPageBreak/>
        <w:t>海洋产业发展具有全局带动作用的工业项目和港口物流项目，不断延伸海洋经济发展产业链，同时带动港口物流业发展实现新的飞跃。</w:t>
      </w: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C66A5D" w:rsidRDefault="00C66A5D">
      <w:pPr>
        <w:pStyle w:val="a0"/>
        <w:rPr>
          <w:rFonts w:ascii="方正黑体简体" w:eastAsia="方正黑体简体" w:cs="方正黑体简体"/>
          <w:sz w:val="28"/>
          <w:szCs w:val="28"/>
        </w:rPr>
      </w:pPr>
    </w:p>
    <w:p w:rsidR="00C66A5D" w:rsidRDefault="00C66A5D">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0A2CBC" w:rsidRDefault="000A2CBC">
      <w:pPr>
        <w:pStyle w:val="a0"/>
        <w:rPr>
          <w:rFonts w:ascii="方正黑体简体" w:eastAsia="方正黑体简体" w:cs="方正黑体简体"/>
          <w:sz w:val="28"/>
          <w:szCs w:val="28"/>
        </w:rPr>
      </w:pPr>
    </w:p>
    <w:p w:rsidR="000A2CBC" w:rsidRDefault="000A2CBC">
      <w:pPr>
        <w:pStyle w:val="a0"/>
        <w:rPr>
          <w:rFonts w:ascii="方正黑体简体" w:eastAsia="方正黑体简体" w:cs="方正黑体简体"/>
          <w:sz w:val="28"/>
          <w:szCs w:val="28"/>
        </w:rPr>
      </w:pPr>
    </w:p>
    <w:p w:rsidR="00AF7007" w:rsidRDefault="002065AF">
      <w:pPr>
        <w:pStyle w:val="a0"/>
        <w:rPr>
          <w:rFonts w:ascii="方正黑体简体" w:eastAsia="方正黑体简体" w:cs="方正黑体简体"/>
          <w:sz w:val="28"/>
          <w:szCs w:val="28"/>
        </w:rPr>
      </w:pPr>
      <w:r>
        <w:rPr>
          <w:rFonts w:ascii="方正黑体简体" w:eastAsia="方正黑体简体" w:cs="方正黑体简体" w:hint="eastAsia"/>
          <w:sz w:val="28"/>
          <w:szCs w:val="28"/>
        </w:rPr>
        <w:lastRenderedPageBreak/>
        <w:t>市</w:t>
      </w:r>
      <w:bookmarkStart w:id="0" w:name="_GoBack"/>
      <w:bookmarkEnd w:id="0"/>
      <w:r w:rsidR="000602CF">
        <w:rPr>
          <w:rFonts w:ascii="方正黑体简体" w:eastAsia="方正黑体简体" w:cs="方正黑体简体" w:hint="eastAsia"/>
          <w:sz w:val="28"/>
          <w:szCs w:val="28"/>
        </w:rPr>
        <w:t>政协提案范文三</w:t>
      </w:r>
    </w:p>
    <w:p w:rsidR="00AF7007" w:rsidRDefault="00AF7007">
      <w:pPr>
        <w:pStyle w:val="a0"/>
        <w:rPr>
          <w:rFonts w:ascii="方正黑体简体" w:eastAsia="方正黑体简体" w:cs="方正黑体简体"/>
          <w:sz w:val="28"/>
          <w:szCs w:val="28"/>
        </w:rPr>
      </w:pPr>
    </w:p>
    <w:p w:rsidR="00AF7007" w:rsidRDefault="000602CF">
      <w:pPr>
        <w:spacing w:line="62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hint="eastAsia"/>
          <w:sz w:val="44"/>
          <w:szCs w:val="44"/>
        </w:rPr>
        <w:t>关于实施精益生产</w:t>
      </w:r>
      <w:r>
        <w:rPr>
          <w:rFonts w:ascii="Times New Roman" w:eastAsia="方正大标宋简体" w:hAnsi="Times New Roman" w:cs="Times New Roman" w:hint="eastAsia"/>
          <w:sz w:val="44"/>
          <w:szCs w:val="44"/>
        </w:rPr>
        <w:t xml:space="preserve">  </w:t>
      </w:r>
      <w:r>
        <w:rPr>
          <w:rFonts w:ascii="Times New Roman" w:eastAsia="方正大标宋简体" w:hAnsi="Times New Roman" w:cs="Times New Roman" w:hint="eastAsia"/>
          <w:sz w:val="44"/>
          <w:szCs w:val="44"/>
        </w:rPr>
        <w:t>推动我市制造业高质量发展的建议</w:t>
      </w:r>
    </w:p>
    <w:p w:rsidR="00AF7007" w:rsidRDefault="00AF7007">
      <w:pPr>
        <w:spacing w:line="360" w:lineRule="auto"/>
        <w:ind w:firstLineChars="200" w:firstLine="640"/>
        <w:rPr>
          <w:rFonts w:ascii="Times New Roman" w:eastAsia="方正黑体简体" w:hAnsi="Times New Roman" w:cs="Times New Roman"/>
          <w:sz w:val="32"/>
          <w:szCs w:val="32"/>
        </w:rPr>
      </w:pPr>
      <w:bookmarkStart w:id="1" w:name="内容"/>
    </w:p>
    <w:p w:rsidR="00AF7007" w:rsidRDefault="000602CF">
      <w:pPr>
        <w:spacing w:line="360" w:lineRule="auto"/>
        <w:ind w:firstLineChars="200" w:firstLine="640"/>
        <w:rPr>
          <w:rFonts w:ascii="Times New Roman" w:eastAsia="方正黑体简体" w:hAnsi="Times New Roman" w:cs="Times New Roman"/>
          <w:sz w:val="32"/>
          <w:szCs w:val="32"/>
        </w:rPr>
      </w:pPr>
      <w:r>
        <w:rPr>
          <w:rFonts w:ascii="Times New Roman" w:eastAsia="方正黑体简体" w:hAnsi="Times New Roman" w:cs="Times New Roman" w:hint="eastAsia"/>
          <w:sz w:val="32"/>
          <w:szCs w:val="32"/>
        </w:rPr>
        <w:t>一、提出的背景</w:t>
      </w:r>
    </w:p>
    <w:p w:rsidR="00AF7007" w:rsidRDefault="000602C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市委十四次代表大会提出，要坚持工业立市制造强市，深入推进“工业振兴”工程。作为传统工业基地，我市工业体系完整，制造业基础扎实，现有工业企业2万多家。2021年前三季度，全市规模以上工业增加值943.37亿元，同比增长17.8%，其中制造业增加值增长18.0%，是经济发展的重要力量。《广东省制造业高质量发展“十四五”规划》明确，江门是全部20个省战略性产业集群的布局城市，其中8个战略性产业将我市标注为“核心城市”，在全省制造业发展布局中占据着重要地位。但与广州、佛山等制造业强市相比，我市制造业发展水平尚有差距。除产业规模不够大、产业集群特色不鲜明、大型骨干企业和专精特新企业偏少外，企业管理水平不高也是阻碍产业高质量发展的重要因素。而精益生产是企业刀刃向内的自我革新，在优化流程、降低能耗、减少库存等方面成效明显，有效打通阻碍企业高质量发展这个堵点。</w:t>
      </w:r>
    </w:p>
    <w:p w:rsidR="00AF7007" w:rsidRDefault="000602CF">
      <w:pPr>
        <w:spacing w:line="360" w:lineRule="auto"/>
        <w:ind w:firstLineChars="200" w:firstLine="640"/>
        <w:rPr>
          <w:rFonts w:ascii="Times New Roman" w:eastAsia="方正黑体简体" w:hAnsi="Times New Roman" w:cs="Times New Roman"/>
          <w:sz w:val="32"/>
          <w:szCs w:val="32"/>
        </w:rPr>
      </w:pPr>
      <w:r>
        <w:rPr>
          <w:rFonts w:ascii="Times New Roman" w:eastAsia="方正黑体简体" w:hAnsi="Times New Roman" w:cs="Times New Roman" w:hint="eastAsia"/>
          <w:sz w:val="32"/>
          <w:szCs w:val="32"/>
        </w:rPr>
        <w:t>二、提出的原由</w:t>
      </w:r>
    </w:p>
    <w:p w:rsidR="00AF7007" w:rsidRDefault="000602CF">
      <w:pPr>
        <w:spacing w:line="360" w:lineRule="auto"/>
        <w:ind w:firstLineChars="200" w:firstLine="640"/>
        <w:rPr>
          <w:rFonts w:ascii="仿宋" w:eastAsia="仿宋" w:hAnsi="仿宋" w:cs="仿宋"/>
          <w:sz w:val="32"/>
          <w:szCs w:val="32"/>
        </w:rPr>
      </w:pPr>
      <w:r>
        <w:rPr>
          <w:rFonts w:ascii="方正楷体简体" w:eastAsia="方正楷体简体" w:hAnsi="方正楷体简体" w:cs="方正楷体简体" w:hint="eastAsia"/>
          <w:sz w:val="32"/>
          <w:szCs w:val="32"/>
        </w:rPr>
        <w:t>（一）精益生产生重在“精”，具四大特点。</w:t>
      </w:r>
      <w:r>
        <w:rPr>
          <w:rFonts w:ascii="仿宋" w:eastAsia="仿宋" w:hAnsi="仿宋" w:cs="仿宋" w:hint="eastAsia"/>
          <w:b/>
          <w:bCs/>
          <w:sz w:val="32"/>
          <w:szCs w:val="32"/>
        </w:rPr>
        <w:t>一是实用性强。</w:t>
      </w:r>
      <w:r>
        <w:rPr>
          <w:rFonts w:ascii="仿宋" w:eastAsia="仿宋" w:hAnsi="仿宋" w:cs="仿宋" w:hint="eastAsia"/>
          <w:sz w:val="32"/>
          <w:szCs w:val="32"/>
        </w:rPr>
        <w:t>精益生产是衍生自丰田生产方式的一种管理哲学，核心特</w:t>
      </w:r>
      <w:r>
        <w:rPr>
          <w:rFonts w:ascii="仿宋" w:eastAsia="仿宋" w:hAnsi="仿宋" w:cs="仿宋" w:hint="eastAsia"/>
          <w:sz w:val="32"/>
          <w:szCs w:val="32"/>
        </w:rPr>
        <w:lastRenderedPageBreak/>
        <w:t>征是通过生产流程改善带来产值质变提升。发展至今，早已超越“丰田生产模式”，与不同行业和企业需求实现紧密结合，企业可以根据实际设定目标，按照精益生产管理方法和流程精准施策解决问题。</w:t>
      </w:r>
      <w:r>
        <w:rPr>
          <w:rFonts w:ascii="仿宋" w:eastAsia="仿宋" w:hAnsi="仿宋" w:cs="仿宋" w:hint="eastAsia"/>
          <w:b/>
          <w:bCs/>
          <w:sz w:val="32"/>
          <w:szCs w:val="32"/>
        </w:rPr>
        <w:t>二是灵活度高。</w:t>
      </w:r>
      <w:r>
        <w:rPr>
          <w:rFonts w:ascii="仿宋" w:eastAsia="仿宋" w:hAnsi="仿宋" w:cs="仿宋" w:hint="eastAsia"/>
          <w:sz w:val="32"/>
          <w:szCs w:val="32"/>
        </w:rPr>
        <w:t>实施精益生产的方式灵活多样，可由专业机构辅助，有条件的企业也可以自主导入。</w:t>
      </w:r>
      <w:r>
        <w:rPr>
          <w:rFonts w:ascii="仿宋" w:eastAsia="仿宋" w:hAnsi="仿宋" w:cs="仿宋" w:hint="eastAsia"/>
          <w:b/>
          <w:bCs/>
          <w:sz w:val="32"/>
          <w:szCs w:val="32"/>
        </w:rPr>
        <w:t>三是操作性强。</w:t>
      </w:r>
      <w:r>
        <w:rPr>
          <w:rFonts w:ascii="仿宋" w:eastAsia="仿宋" w:hAnsi="仿宋" w:cs="仿宋" w:hint="eastAsia"/>
          <w:sz w:val="32"/>
          <w:szCs w:val="32"/>
        </w:rPr>
        <w:t>一般而言，企业在实施精益生产3至6个月后可出现良性变化。四是产出比高。据有关咨询服务机构调查统计显示，企业导入精益生产后产值增幅普遍在30%以上。排除其他因素，以提升产值20%计算，推动100家年产值1亿元的企业实施精益生产，每年能增加产值20亿元。</w:t>
      </w:r>
    </w:p>
    <w:p w:rsidR="00AF7007" w:rsidRDefault="000602CF">
      <w:pPr>
        <w:spacing w:line="360" w:lineRule="auto"/>
        <w:ind w:firstLineChars="200" w:firstLine="640"/>
        <w:rPr>
          <w:rFonts w:ascii="仿宋" w:eastAsia="仿宋" w:hAnsi="仿宋" w:cs="仿宋"/>
          <w:sz w:val="32"/>
          <w:szCs w:val="32"/>
        </w:rPr>
      </w:pPr>
      <w:r>
        <w:rPr>
          <w:rFonts w:ascii="方正楷体简体" w:eastAsia="方正楷体简体" w:hAnsi="方正楷体简体" w:cs="方正楷体简体" w:hint="eastAsia"/>
          <w:sz w:val="32"/>
          <w:szCs w:val="32"/>
        </w:rPr>
        <w:t>（二）精益生产贵在“益”，早做早受益。</w:t>
      </w:r>
      <w:r>
        <w:rPr>
          <w:rFonts w:ascii="仿宋" w:eastAsia="仿宋" w:hAnsi="仿宋" w:cs="仿宋" w:hint="eastAsia"/>
          <w:sz w:val="32"/>
          <w:szCs w:val="32"/>
        </w:rPr>
        <w:t>随着改革开放，精益生产传入国内，华为、格力、比亚迪等知名企业均对精益生产进行了系统研究和应用，创造了显著的经济效益。深圳、广州、东莞、佛山等工业强市，多年来大力推动精益生产，成效斐然。江门作为位居全国63位的先进制造业百强市，不少企业学习借鉴国内外精益生产的经验，科恒、维达、天地一号、竞晖等企业效果良好。以竞晖为例，其依托精益生产，抢抓市场机遇，在疫情中逆势迅猛增长，不到2年时间实现产值翻倍，走上良性发展的快车道，被央视《焦点访谈》栏目作为全国中小微企业代表持续关注报道。2021年3月，市工商联启动推进民营企业提质增效“精益领航”三年行动，发动19家企业导入精益生产，跟踪统计显示这些企业半年实现营业收入71.85亿元，同比增长50.47%。市邮储行等银行通过“精益贷”</w:t>
      </w:r>
      <w:r>
        <w:rPr>
          <w:rFonts w:ascii="仿宋" w:eastAsia="仿宋" w:hAnsi="仿宋" w:cs="仿宋" w:hint="eastAsia"/>
          <w:sz w:val="32"/>
          <w:szCs w:val="32"/>
        </w:rPr>
        <w:lastRenderedPageBreak/>
        <w:t>等专属产品，为精益生产企业增加融资1.32亿元，为企业发展注入金融活水。实践证明，在我市制造业推广精益生产是可行的、受益的。</w:t>
      </w:r>
    </w:p>
    <w:p w:rsidR="00AF7007" w:rsidRDefault="000602CF">
      <w:pPr>
        <w:spacing w:line="360" w:lineRule="auto"/>
        <w:ind w:firstLineChars="200" w:firstLine="640"/>
        <w:rPr>
          <w:rFonts w:ascii="Times New Roman" w:eastAsia="方正黑体简体" w:hAnsi="Times New Roman" w:cs="Times New Roman"/>
          <w:sz w:val="32"/>
          <w:szCs w:val="32"/>
        </w:rPr>
      </w:pPr>
      <w:r>
        <w:rPr>
          <w:rFonts w:ascii="Times New Roman" w:eastAsia="方正黑体简体" w:hAnsi="Times New Roman" w:cs="Times New Roman" w:hint="eastAsia"/>
          <w:sz w:val="32"/>
          <w:szCs w:val="32"/>
        </w:rPr>
        <w:t>三、具体的建议</w:t>
      </w:r>
    </w:p>
    <w:p w:rsidR="00AF7007" w:rsidRDefault="000602CF">
      <w:pPr>
        <w:spacing w:line="360" w:lineRule="auto"/>
        <w:ind w:firstLineChars="200" w:firstLine="640"/>
        <w:rPr>
          <w:rFonts w:ascii="仿宋" w:eastAsia="仿宋" w:hAnsi="仿宋" w:cs="仿宋"/>
          <w:sz w:val="32"/>
          <w:szCs w:val="32"/>
        </w:rPr>
      </w:pPr>
      <w:r>
        <w:rPr>
          <w:rFonts w:ascii="方正楷体简体" w:eastAsia="方正楷体简体" w:hAnsi="方正楷体简体" w:cs="方正楷体简体" w:hint="eastAsia"/>
          <w:sz w:val="32"/>
          <w:szCs w:val="32"/>
        </w:rPr>
        <w:t>（一）加快机制体制建设。</w:t>
      </w:r>
      <w:r>
        <w:rPr>
          <w:rFonts w:ascii="仿宋" w:eastAsia="仿宋" w:hAnsi="仿宋" w:cs="仿宋" w:hint="eastAsia"/>
          <w:sz w:val="32"/>
          <w:szCs w:val="32"/>
        </w:rPr>
        <w:t>推动实施精益生产的体制机制建设，将精益生产纳入我市制造业高质量发展工作体系，并列入推动全市制造业高质量发展暨中小企业（民营经济）发展大会的重要内容。出台相关扶持政策和优惠措施，对精益生产企业给予补贴、贷款贴息和税收减免，对精益生产标杆企业予以表彰奖励，加强培育精益生产优质企业在资本市场上市，引领和激励企业以精益生产为抓手深耕细作，为健全补强产业链和培育更多龙头企业、领军企业、产业细分领域“单项冠军”、“隐形冠军”、“专精特新”企业蓄势储能。</w:t>
      </w:r>
    </w:p>
    <w:p w:rsidR="00AF7007" w:rsidRDefault="000602CF">
      <w:pPr>
        <w:spacing w:line="360" w:lineRule="auto"/>
        <w:ind w:firstLineChars="200" w:firstLine="640"/>
        <w:rPr>
          <w:rFonts w:ascii="仿宋" w:eastAsia="仿宋" w:hAnsi="仿宋" w:cs="仿宋"/>
          <w:sz w:val="32"/>
          <w:szCs w:val="32"/>
        </w:rPr>
      </w:pPr>
      <w:r>
        <w:rPr>
          <w:rFonts w:ascii="方正楷体简体" w:eastAsia="方正楷体简体" w:hAnsi="方正楷体简体" w:cs="方正楷体简体" w:hint="eastAsia"/>
          <w:sz w:val="32"/>
          <w:szCs w:val="32"/>
        </w:rPr>
        <w:t>（二）构建多维服务体系。</w:t>
      </w:r>
      <w:r>
        <w:rPr>
          <w:rFonts w:ascii="仿宋" w:eastAsia="仿宋" w:hAnsi="仿宋" w:cs="仿宋" w:hint="eastAsia"/>
          <w:b/>
          <w:bCs/>
          <w:sz w:val="32"/>
          <w:szCs w:val="32"/>
        </w:rPr>
        <w:t>一是加强指导对接。</w:t>
      </w:r>
      <w:r>
        <w:rPr>
          <w:rFonts w:ascii="仿宋" w:eastAsia="仿宋" w:hAnsi="仿宋" w:cs="仿宋" w:hint="eastAsia"/>
          <w:sz w:val="32"/>
          <w:szCs w:val="32"/>
        </w:rPr>
        <w:t>政府加强组织引导，协同相关部门、商协会为企业提供指导和服务，帮助解决精益生产中遇到的问题和困难。</w:t>
      </w:r>
      <w:r>
        <w:rPr>
          <w:rFonts w:ascii="仿宋" w:eastAsia="仿宋" w:hAnsi="仿宋" w:cs="仿宋" w:hint="eastAsia"/>
          <w:b/>
          <w:bCs/>
          <w:sz w:val="32"/>
          <w:szCs w:val="32"/>
        </w:rPr>
        <w:t>二是加强金融支撑。</w:t>
      </w:r>
      <w:r>
        <w:rPr>
          <w:rFonts w:ascii="仿宋" w:eastAsia="仿宋" w:hAnsi="仿宋" w:cs="仿宋" w:hint="eastAsia"/>
          <w:sz w:val="32"/>
          <w:szCs w:val="32"/>
        </w:rPr>
        <w:t>发挥行业主管部门和银行金融机构作用，引导银行资金向精益生产企业倾斜，通过降低门槛、提升额度、优惠利率和贴息等多种手段，为精益生产企业注入金融活水。</w:t>
      </w:r>
      <w:r>
        <w:rPr>
          <w:rFonts w:ascii="仿宋" w:eastAsia="仿宋" w:hAnsi="仿宋" w:cs="仿宋" w:hint="eastAsia"/>
          <w:b/>
          <w:bCs/>
          <w:sz w:val="32"/>
          <w:szCs w:val="32"/>
        </w:rPr>
        <w:t>三是加强专业辅导。</w:t>
      </w:r>
      <w:r>
        <w:rPr>
          <w:rFonts w:ascii="仿宋" w:eastAsia="仿宋" w:hAnsi="仿宋" w:cs="仿宋" w:hint="eastAsia"/>
          <w:sz w:val="32"/>
          <w:szCs w:val="32"/>
        </w:rPr>
        <w:t>发挥主管部门作用，搭建服务平台，完善竞争机制和服务评价体系，引入更多优质的咨询服务机构落户江门、深耕本地，提高服务“黏合度”，推动精益生产在我市开花结果。</w:t>
      </w:r>
    </w:p>
    <w:p w:rsidR="00AF7007" w:rsidRDefault="000602CF">
      <w:pPr>
        <w:spacing w:line="360" w:lineRule="auto"/>
        <w:ind w:firstLineChars="200" w:firstLine="640"/>
        <w:rPr>
          <w:rFonts w:ascii="仿宋" w:eastAsia="仿宋" w:hAnsi="仿宋" w:cs="仿宋"/>
          <w:b/>
          <w:bCs/>
          <w:sz w:val="32"/>
          <w:szCs w:val="32"/>
        </w:rPr>
      </w:pPr>
      <w:r>
        <w:rPr>
          <w:rFonts w:ascii="方正楷体简体" w:eastAsia="方正楷体简体" w:hAnsi="方正楷体简体" w:cs="方正楷体简体" w:hint="eastAsia"/>
          <w:sz w:val="32"/>
          <w:szCs w:val="32"/>
        </w:rPr>
        <w:t>（三）强化舆论宣传引导。</w:t>
      </w:r>
      <w:r>
        <w:rPr>
          <w:rFonts w:ascii="仿宋" w:eastAsia="仿宋" w:hAnsi="仿宋" w:cs="仿宋" w:hint="eastAsia"/>
          <w:sz w:val="32"/>
          <w:szCs w:val="32"/>
        </w:rPr>
        <w:t>发挥本地主流媒体和政府部门、</w:t>
      </w:r>
      <w:r>
        <w:rPr>
          <w:rFonts w:ascii="仿宋" w:eastAsia="仿宋" w:hAnsi="仿宋" w:cs="仿宋" w:hint="eastAsia"/>
          <w:sz w:val="32"/>
          <w:szCs w:val="32"/>
        </w:rPr>
        <w:lastRenderedPageBreak/>
        <w:t>商协会微信公众号、官方微博的舆论引导作用，加强对精益生产的宣传报道，营造良好的推进氛围。</w:t>
      </w:r>
      <w:r>
        <w:rPr>
          <w:rFonts w:ascii="仿宋" w:eastAsia="仿宋" w:hAnsi="仿宋" w:cs="仿宋" w:hint="eastAsia"/>
          <w:b/>
          <w:bCs/>
          <w:sz w:val="32"/>
          <w:szCs w:val="32"/>
        </w:rPr>
        <w:t>一是强化责任意识。</w:t>
      </w:r>
      <w:r>
        <w:rPr>
          <w:rFonts w:ascii="仿宋" w:eastAsia="仿宋" w:hAnsi="仿宋" w:cs="仿宋" w:hint="eastAsia"/>
          <w:sz w:val="32"/>
          <w:szCs w:val="32"/>
        </w:rPr>
        <w:t>引导企业家将企业发展与经济社会发展紧密结合，围绕我市发展战略积极推动精益生产，实现企业新发展。</w:t>
      </w:r>
      <w:r>
        <w:rPr>
          <w:rFonts w:ascii="仿宋" w:eastAsia="仿宋" w:hAnsi="仿宋" w:cs="仿宋" w:hint="eastAsia"/>
          <w:b/>
          <w:bCs/>
          <w:sz w:val="32"/>
          <w:szCs w:val="32"/>
        </w:rPr>
        <w:t>二是普及精益理念。</w:t>
      </w:r>
      <w:r>
        <w:rPr>
          <w:rFonts w:ascii="仿宋" w:eastAsia="仿宋" w:hAnsi="仿宋" w:cs="仿宋" w:hint="eastAsia"/>
          <w:sz w:val="32"/>
          <w:szCs w:val="32"/>
        </w:rPr>
        <w:t>与市直三区相比，台开鹤恩的企业精益生产意识仍较薄弱。要进一步宣传精益生产知识，强化精益生产理念，推动全市协同发展，使广大企业从“要我做”向“我要做”转变。</w:t>
      </w:r>
      <w:r>
        <w:rPr>
          <w:rFonts w:ascii="仿宋" w:eastAsia="仿宋" w:hAnsi="仿宋" w:cs="仿宋" w:hint="eastAsia"/>
          <w:b/>
          <w:bCs/>
          <w:sz w:val="32"/>
          <w:szCs w:val="32"/>
        </w:rPr>
        <w:t>三是厚植精益文化。</w:t>
      </w:r>
      <w:r>
        <w:rPr>
          <w:rFonts w:ascii="仿宋" w:eastAsia="仿宋" w:hAnsi="仿宋" w:cs="仿宋" w:hint="eastAsia"/>
          <w:sz w:val="32"/>
          <w:szCs w:val="32"/>
        </w:rPr>
        <w:t>通过调研、交流、宣讲和学习，使精益生产真正走进企业，使“精益”理念贯穿企业生产全过程，成为企业文化的一部分，推动制造业走上精益化管理、高质量发展的道路，为促进我市经济社会发展再立新功！</w:t>
      </w:r>
      <w:bookmarkEnd w:id="1"/>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p w:rsidR="00AF7007" w:rsidRDefault="00AF7007">
      <w:pPr>
        <w:pStyle w:val="a0"/>
        <w:rPr>
          <w:rFonts w:ascii="方正黑体简体" w:eastAsia="方正黑体简体" w:cs="方正黑体简体"/>
          <w:sz w:val="28"/>
          <w:szCs w:val="28"/>
        </w:rPr>
      </w:pPr>
    </w:p>
    <w:sectPr w:rsidR="00AF7007">
      <w:footerReference w:type="even" r:id="rId9"/>
      <w:footerReference w:type="default" r:id="rId10"/>
      <w:pgSz w:w="11906" w:h="16838"/>
      <w:pgMar w:top="1418" w:right="1701" w:bottom="1134" w:left="1701" w:header="851" w:footer="680"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04" w:rsidRDefault="00FF4C04">
      <w:r>
        <w:separator/>
      </w:r>
    </w:p>
  </w:endnote>
  <w:endnote w:type="continuationSeparator" w:id="0">
    <w:p w:rsidR="00FF4C04" w:rsidRDefault="00FF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07" w:rsidRDefault="000602CF">
    <w:pPr>
      <w:pStyle w:val="a6"/>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PAGE   \* MERGEFORMAT</w:instrText>
    </w:r>
    <w:r>
      <w:rPr>
        <w:rFonts w:ascii="宋体" w:hAnsi="宋体" w:cs="宋体"/>
        <w:sz w:val="28"/>
        <w:szCs w:val="28"/>
      </w:rPr>
      <w:fldChar w:fldCharType="separate"/>
    </w:r>
    <w:r w:rsidR="002065AF" w:rsidRPr="002065AF">
      <w:rPr>
        <w:rFonts w:ascii="宋体" w:cs="宋体"/>
        <w:noProof/>
        <w:sz w:val="28"/>
        <w:szCs w:val="28"/>
        <w:lang w:val="zh-CN"/>
      </w:rPr>
      <w:t>-</w:t>
    </w:r>
    <w:r w:rsidR="002065AF">
      <w:rPr>
        <w:rFonts w:ascii="宋体" w:hAnsi="宋体" w:cs="宋体"/>
        <w:noProof/>
        <w:sz w:val="28"/>
        <w:szCs w:val="28"/>
      </w:rPr>
      <w:t xml:space="preserve"> 10 -</w:t>
    </w:r>
    <w:r>
      <w:rPr>
        <w:rFonts w:ascii="宋体" w:hAnsi="宋体" w:cs="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07" w:rsidRDefault="000602CF">
    <w:pPr>
      <w:pStyle w:val="a6"/>
      <w:jc w:val="right"/>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PAGE   \* MERGEFORMAT</w:instrText>
    </w:r>
    <w:r>
      <w:rPr>
        <w:rFonts w:ascii="宋体" w:hAnsi="宋体" w:cs="宋体"/>
        <w:sz w:val="28"/>
        <w:szCs w:val="28"/>
      </w:rPr>
      <w:fldChar w:fldCharType="separate"/>
    </w:r>
    <w:r w:rsidR="002065AF" w:rsidRPr="002065AF">
      <w:rPr>
        <w:rFonts w:ascii="宋体" w:cs="宋体"/>
        <w:noProof/>
        <w:sz w:val="28"/>
        <w:szCs w:val="28"/>
        <w:lang w:val="zh-CN"/>
      </w:rPr>
      <w:t>-</w:t>
    </w:r>
    <w:r w:rsidR="002065AF">
      <w:rPr>
        <w:rFonts w:ascii="宋体" w:hAnsi="宋体" w:cs="宋体"/>
        <w:noProof/>
        <w:sz w:val="28"/>
        <w:szCs w:val="28"/>
      </w:rPr>
      <w:t xml:space="preserve"> 9 -</w:t>
    </w:r>
    <w:r>
      <w:rPr>
        <w:rFonts w:ascii="宋体" w:hAnsi="宋体" w:cs="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04" w:rsidRDefault="00FF4C04">
      <w:r>
        <w:separator/>
      </w:r>
    </w:p>
  </w:footnote>
  <w:footnote w:type="continuationSeparator" w:id="0">
    <w:p w:rsidR="00FF4C04" w:rsidRDefault="00FF4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F6C88"/>
    <w:multiLevelType w:val="singleLevel"/>
    <w:tmpl w:val="1C4F6C88"/>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evenAndOddHeader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6E"/>
    <w:rsid w:val="97AE25FE"/>
    <w:rsid w:val="AFFD7B16"/>
    <w:rsid w:val="B7ABAE1C"/>
    <w:rsid w:val="BAFF43AA"/>
    <w:rsid w:val="BBBFB8AF"/>
    <w:rsid w:val="BDF70423"/>
    <w:rsid w:val="BEEBB326"/>
    <w:rsid w:val="BFDFBEA5"/>
    <w:rsid w:val="BFE71475"/>
    <w:rsid w:val="BFF6C114"/>
    <w:rsid w:val="CEBF1108"/>
    <w:rsid w:val="CFEB2FEB"/>
    <w:rsid w:val="D53E6918"/>
    <w:rsid w:val="DAFE541D"/>
    <w:rsid w:val="DDBE02AC"/>
    <w:rsid w:val="DE7F5F6C"/>
    <w:rsid w:val="DEE9CF92"/>
    <w:rsid w:val="DEF145EB"/>
    <w:rsid w:val="DFEF324D"/>
    <w:rsid w:val="E2FDB915"/>
    <w:rsid w:val="E7BFA6BE"/>
    <w:rsid w:val="EAEC8AFF"/>
    <w:rsid w:val="EEBCB908"/>
    <w:rsid w:val="EEF58087"/>
    <w:rsid w:val="EF9FABFE"/>
    <w:rsid w:val="EFBF1DA7"/>
    <w:rsid w:val="EFCF50F4"/>
    <w:rsid w:val="F03DCF76"/>
    <w:rsid w:val="F21EF678"/>
    <w:rsid w:val="F6FF2B11"/>
    <w:rsid w:val="F7BC7386"/>
    <w:rsid w:val="F7EA868C"/>
    <w:rsid w:val="F7FE803D"/>
    <w:rsid w:val="F97AC872"/>
    <w:rsid w:val="FAADE0D9"/>
    <w:rsid w:val="FB6C3E68"/>
    <w:rsid w:val="FFBEEA96"/>
    <w:rsid w:val="FFBEECF4"/>
    <w:rsid w:val="FFDFD60E"/>
    <w:rsid w:val="FFF62872"/>
    <w:rsid w:val="FFFB692F"/>
    <w:rsid w:val="FFFDD4FC"/>
    <w:rsid w:val="FFFEEC63"/>
    <w:rsid w:val="FFFF3D92"/>
    <w:rsid w:val="00014DB4"/>
    <w:rsid w:val="000306E1"/>
    <w:rsid w:val="00030A75"/>
    <w:rsid w:val="000602CF"/>
    <w:rsid w:val="00064C47"/>
    <w:rsid w:val="00077FA4"/>
    <w:rsid w:val="0008224F"/>
    <w:rsid w:val="000A2CBC"/>
    <w:rsid w:val="000A3C84"/>
    <w:rsid w:val="000B26E3"/>
    <w:rsid w:val="000B4DFE"/>
    <w:rsid w:val="000B7E19"/>
    <w:rsid w:val="000C4DD6"/>
    <w:rsid w:val="000D7103"/>
    <w:rsid w:val="000E0EF3"/>
    <w:rsid w:val="000E4FB1"/>
    <w:rsid w:val="000F1643"/>
    <w:rsid w:val="000F6963"/>
    <w:rsid w:val="00101DC9"/>
    <w:rsid w:val="001160FA"/>
    <w:rsid w:val="00141C6D"/>
    <w:rsid w:val="00146B08"/>
    <w:rsid w:val="00146F59"/>
    <w:rsid w:val="00150C79"/>
    <w:rsid w:val="00160658"/>
    <w:rsid w:val="00160A1B"/>
    <w:rsid w:val="00164559"/>
    <w:rsid w:val="001647AC"/>
    <w:rsid w:val="00170A94"/>
    <w:rsid w:val="00192EDC"/>
    <w:rsid w:val="001B0AE9"/>
    <w:rsid w:val="001B2FCC"/>
    <w:rsid w:val="001E6063"/>
    <w:rsid w:val="001F7E51"/>
    <w:rsid w:val="0020141D"/>
    <w:rsid w:val="002065AF"/>
    <w:rsid w:val="0021454F"/>
    <w:rsid w:val="00220A24"/>
    <w:rsid w:val="0024027E"/>
    <w:rsid w:val="00275A0A"/>
    <w:rsid w:val="00293575"/>
    <w:rsid w:val="002A12E4"/>
    <w:rsid w:val="002B25D5"/>
    <w:rsid w:val="002B3624"/>
    <w:rsid w:val="002C0A34"/>
    <w:rsid w:val="002D1521"/>
    <w:rsid w:val="002D7ACA"/>
    <w:rsid w:val="002E2250"/>
    <w:rsid w:val="00300C6E"/>
    <w:rsid w:val="00315EF8"/>
    <w:rsid w:val="003220FE"/>
    <w:rsid w:val="003223CC"/>
    <w:rsid w:val="0036189E"/>
    <w:rsid w:val="0036429F"/>
    <w:rsid w:val="0038461E"/>
    <w:rsid w:val="00391148"/>
    <w:rsid w:val="003B30CE"/>
    <w:rsid w:val="003E5D76"/>
    <w:rsid w:val="003F32D7"/>
    <w:rsid w:val="003F5D88"/>
    <w:rsid w:val="00432BC4"/>
    <w:rsid w:val="00457810"/>
    <w:rsid w:val="004945E1"/>
    <w:rsid w:val="004B1E73"/>
    <w:rsid w:val="004B253D"/>
    <w:rsid w:val="004C0B14"/>
    <w:rsid w:val="004C25E5"/>
    <w:rsid w:val="004E4147"/>
    <w:rsid w:val="004E6393"/>
    <w:rsid w:val="004F64C0"/>
    <w:rsid w:val="004F6E36"/>
    <w:rsid w:val="00520C20"/>
    <w:rsid w:val="00520D92"/>
    <w:rsid w:val="00522AEF"/>
    <w:rsid w:val="00524A5C"/>
    <w:rsid w:val="00540B37"/>
    <w:rsid w:val="005522FF"/>
    <w:rsid w:val="00552D16"/>
    <w:rsid w:val="00556B79"/>
    <w:rsid w:val="0056052C"/>
    <w:rsid w:val="00561317"/>
    <w:rsid w:val="005766B9"/>
    <w:rsid w:val="0059118D"/>
    <w:rsid w:val="005927C5"/>
    <w:rsid w:val="005B7FDE"/>
    <w:rsid w:val="005C0904"/>
    <w:rsid w:val="005C0960"/>
    <w:rsid w:val="005C16CD"/>
    <w:rsid w:val="005F78ED"/>
    <w:rsid w:val="006074ED"/>
    <w:rsid w:val="00625159"/>
    <w:rsid w:val="00642F13"/>
    <w:rsid w:val="00645932"/>
    <w:rsid w:val="00646798"/>
    <w:rsid w:val="006469A0"/>
    <w:rsid w:val="006519C7"/>
    <w:rsid w:val="0065424F"/>
    <w:rsid w:val="00667218"/>
    <w:rsid w:val="00674A05"/>
    <w:rsid w:val="00682AE5"/>
    <w:rsid w:val="00686958"/>
    <w:rsid w:val="006A5CBD"/>
    <w:rsid w:val="006A62E8"/>
    <w:rsid w:val="006A7464"/>
    <w:rsid w:val="006B77F1"/>
    <w:rsid w:val="006D0E23"/>
    <w:rsid w:val="006D1DE5"/>
    <w:rsid w:val="006D6117"/>
    <w:rsid w:val="006E034C"/>
    <w:rsid w:val="006E2A83"/>
    <w:rsid w:val="006E3227"/>
    <w:rsid w:val="006E6C35"/>
    <w:rsid w:val="006E7A42"/>
    <w:rsid w:val="006F55F5"/>
    <w:rsid w:val="00700680"/>
    <w:rsid w:val="00704325"/>
    <w:rsid w:val="00721C25"/>
    <w:rsid w:val="00724BC2"/>
    <w:rsid w:val="0074115D"/>
    <w:rsid w:val="007412DE"/>
    <w:rsid w:val="0075102E"/>
    <w:rsid w:val="00765305"/>
    <w:rsid w:val="00770489"/>
    <w:rsid w:val="00770B7B"/>
    <w:rsid w:val="00785370"/>
    <w:rsid w:val="00793563"/>
    <w:rsid w:val="007A0EEC"/>
    <w:rsid w:val="007A1E9E"/>
    <w:rsid w:val="007B540A"/>
    <w:rsid w:val="007E2D8F"/>
    <w:rsid w:val="007F6296"/>
    <w:rsid w:val="00802DA3"/>
    <w:rsid w:val="00810399"/>
    <w:rsid w:val="00811C9F"/>
    <w:rsid w:val="0081466F"/>
    <w:rsid w:val="00815631"/>
    <w:rsid w:val="00825DE3"/>
    <w:rsid w:val="00833576"/>
    <w:rsid w:val="00836238"/>
    <w:rsid w:val="00847901"/>
    <w:rsid w:val="0088294B"/>
    <w:rsid w:val="008A34A3"/>
    <w:rsid w:val="008B020C"/>
    <w:rsid w:val="008B0A3D"/>
    <w:rsid w:val="008B3242"/>
    <w:rsid w:val="008C00BB"/>
    <w:rsid w:val="008C05C5"/>
    <w:rsid w:val="008C3F40"/>
    <w:rsid w:val="008D389C"/>
    <w:rsid w:val="008D6E30"/>
    <w:rsid w:val="008E2E0B"/>
    <w:rsid w:val="008F383F"/>
    <w:rsid w:val="008F6F1B"/>
    <w:rsid w:val="009073C4"/>
    <w:rsid w:val="009104D2"/>
    <w:rsid w:val="00911827"/>
    <w:rsid w:val="009234F4"/>
    <w:rsid w:val="00923A8C"/>
    <w:rsid w:val="009405CC"/>
    <w:rsid w:val="00956BAC"/>
    <w:rsid w:val="009610E2"/>
    <w:rsid w:val="00980435"/>
    <w:rsid w:val="00986EE1"/>
    <w:rsid w:val="00991278"/>
    <w:rsid w:val="009939BF"/>
    <w:rsid w:val="009A3784"/>
    <w:rsid w:val="009B52FB"/>
    <w:rsid w:val="009B7138"/>
    <w:rsid w:val="009D74A9"/>
    <w:rsid w:val="009F5885"/>
    <w:rsid w:val="00A07858"/>
    <w:rsid w:val="00A12FD3"/>
    <w:rsid w:val="00A146B6"/>
    <w:rsid w:val="00A20A42"/>
    <w:rsid w:val="00A51D42"/>
    <w:rsid w:val="00A53908"/>
    <w:rsid w:val="00A558FE"/>
    <w:rsid w:val="00A55E09"/>
    <w:rsid w:val="00A60732"/>
    <w:rsid w:val="00A65100"/>
    <w:rsid w:val="00A75ECD"/>
    <w:rsid w:val="00A850B8"/>
    <w:rsid w:val="00A92B5D"/>
    <w:rsid w:val="00AA1853"/>
    <w:rsid w:val="00AB664D"/>
    <w:rsid w:val="00AC0F8E"/>
    <w:rsid w:val="00AC661E"/>
    <w:rsid w:val="00AD4481"/>
    <w:rsid w:val="00AF7007"/>
    <w:rsid w:val="00B043F1"/>
    <w:rsid w:val="00B13A42"/>
    <w:rsid w:val="00B1533B"/>
    <w:rsid w:val="00B25642"/>
    <w:rsid w:val="00B25C4D"/>
    <w:rsid w:val="00B83F65"/>
    <w:rsid w:val="00B91528"/>
    <w:rsid w:val="00BA46A2"/>
    <w:rsid w:val="00BB1465"/>
    <w:rsid w:val="00BC5BCD"/>
    <w:rsid w:val="00BD2494"/>
    <w:rsid w:val="00BE44E9"/>
    <w:rsid w:val="00BF55F5"/>
    <w:rsid w:val="00C14D38"/>
    <w:rsid w:val="00C24072"/>
    <w:rsid w:val="00C25958"/>
    <w:rsid w:val="00C33A8F"/>
    <w:rsid w:val="00C3591F"/>
    <w:rsid w:val="00C66A5D"/>
    <w:rsid w:val="00C7796F"/>
    <w:rsid w:val="00C77C53"/>
    <w:rsid w:val="00C83E4A"/>
    <w:rsid w:val="00CA5EAC"/>
    <w:rsid w:val="00CB7490"/>
    <w:rsid w:val="00CD3C81"/>
    <w:rsid w:val="00CD7FD2"/>
    <w:rsid w:val="00CF4EE0"/>
    <w:rsid w:val="00D04794"/>
    <w:rsid w:val="00D115FB"/>
    <w:rsid w:val="00D141C8"/>
    <w:rsid w:val="00D23D53"/>
    <w:rsid w:val="00D311A9"/>
    <w:rsid w:val="00D4108A"/>
    <w:rsid w:val="00D4291A"/>
    <w:rsid w:val="00D54758"/>
    <w:rsid w:val="00D60721"/>
    <w:rsid w:val="00D66ECB"/>
    <w:rsid w:val="00D77E72"/>
    <w:rsid w:val="00D90744"/>
    <w:rsid w:val="00DA5D4D"/>
    <w:rsid w:val="00DB1808"/>
    <w:rsid w:val="00DB31B6"/>
    <w:rsid w:val="00DB7C9B"/>
    <w:rsid w:val="00DC3396"/>
    <w:rsid w:val="00DD056E"/>
    <w:rsid w:val="00DD58FB"/>
    <w:rsid w:val="00DE0913"/>
    <w:rsid w:val="00DE2624"/>
    <w:rsid w:val="00DF0FEA"/>
    <w:rsid w:val="00E16325"/>
    <w:rsid w:val="00E25E97"/>
    <w:rsid w:val="00E27928"/>
    <w:rsid w:val="00E33367"/>
    <w:rsid w:val="00E36CC1"/>
    <w:rsid w:val="00E37F25"/>
    <w:rsid w:val="00E41E2E"/>
    <w:rsid w:val="00E455CE"/>
    <w:rsid w:val="00E54372"/>
    <w:rsid w:val="00E625C3"/>
    <w:rsid w:val="00E77E99"/>
    <w:rsid w:val="00E81C57"/>
    <w:rsid w:val="00EA1620"/>
    <w:rsid w:val="00EA2EE9"/>
    <w:rsid w:val="00EC0185"/>
    <w:rsid w:val="00EC0662"/>
    <w:rsid w:val="00ED7C1C"/>
    <w:rsid w:val="00EE1315"/>
    <w:rsid w:val="00F0006E"/>
    <w:rsid w:val="00F236E2"/>
    <w:rsid w:val="00F26A73"/>
    <w:rsid w:val="00F5271C"/>
    <w:rsid w:val="00F61DA7"/>
    <w:rsid w:val="00F64C50"/>
    <w:rsid w:val="00F72C72"/>
    <w:rsid w:val="00F74FE6"/>
    <w:rsid w:val="00F830C8"/>
    <w:rsid w:val="00FA1CE0"/>
    <w:rsid w:val="00FB42DC"/>
    <w:rsid w:val="00FF1FF5"/>
    <w:rsid w:val="00FF4C04"/>
    <w:rsid w:val="00FF7D42"/>
    <w:rsid w:val="02BA41CD"/>
    <w:rsid w:val="07EE52DA"/>
    <w:rsid w:val="07FA5FE7"/>
    <w:rsid w:val="0EDB0AF9"/>
    <w:rsid w:val="157A4EF5"/>
    <w:rsid w:val="1A570783"/>
    <w:rsid w:val="1AD7794A"/>
    <w:rsid w:val="1E5B78DB"/>
    <w:rsid w:val="1EEECC21"/>
    <w:rsid w:val="2B0E6EFC"/>
    <w:rsid w:val="2BFF8FA4"/>
    <w:rsid w:val="38561F82"/>
    <w:rsid w:val="3A5F737C"/>
    <w:rsid w:val="3BA75B55"/>
    <w:rsid w:val="3BF9420B"/>
    <w:rsid w:val="406B9EB9"/>
    <w:rsid w:val="40F0182C"/>
    <w:rsid w:val="44183EFD"/>
    <w:rsid w:val="52243C39"/>
    <w:rsid w:val="53F7B718"/>
    <w:rsid w:val="5EF71790"/>
    <w:rsid w:val="5F4F8CAF"/>
    <w:rsid w:val="5FF3DA5F"/>
    <w:rsid w:val="628D3816"/>
    <w:rsid w:val="66FBC881"/>
    <w:rsid w:val="6BFB79B2"/>
    <w:rsid w:val="6D0E19D8"/>
    <w:rsid w:val="6DF3C7BE"/>
    <w:rsid w:val="6EF7EF80"/>
    <w:rsid w:val="6F6F7E16"/>
    <w:rsid w:val="6FED729A"/>
    <w:rsid w:val="769B8BBA"/>
    <w:rsid w:val="777DB214"/>
    <w:rsid w:val="77DB2B31"/>
    <w:rsid w:val="77EC8121"/>
    <w:rsid w:val="77FF0BD7"/>
    <w:rsid w:val="7A7BC8D6"/>
    <w:rsid w:val="7AEF006A"/>
    <w:rsid w:val="7BBF511E"/>
    <w:rsid w:val="7BFCCDAF"/>
    <w:rsid w:val="7BFE0279"/>
    <w:rsid w:val="7D57AC64"/>
    <w:rsid w:val="7D6BFB17"/>
    <w:rsid w:val="7D8A7DB1"/>
    <w:rsid w:val="7EFFAB01"/>
    <w:rsid w:val="7F2B4A59"/>
    <w:rsid w:val="7F3BD65B"/>
    <w:rsid w:val="7F3FC809"/>
    <w:rsid w:val="7FB703CB"/>
    <w:rsid w:val="7FD3ABA4"/>
    <w:rsid w:val="7FDFB752"/>
    <w:rsid w:val="7FF74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semiHidden="0" w:uiPriority="0"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qFormat="1"/>
    <w:lsdException w:name="Subtitle" w:locked="1" w:semiHidden="0" w:uiPriority="0" w:unhideWhenUsed="0" w:qFormat="1"/>
    <w:lsdException w:name="Hyperlink" w:semiHidden="0" w:unhideWhenUsed="0" w:qFormat="1"/>
    <w:lsdException w:name="Strong" w:locked="1" w:semiHidden="0" w:unhideWhenUsed="0" w:qFormat="1"/>
    <w:lsdException w:name="Emphasis" w:locked="1"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qFormat/>
    <w:pPr>
      <w:autoSpaceDE w:val="0"/>
      <w:autoSpaceDN w:val="0"/>
      <w:adjustRightInd w:val="0"/>
      <w:snapToGrid w:val="0"/>
      <w:spacing w:line="357" w:lineRule="atLeast"/>
      <w:jc w:val="left"/>
    </w:pPr>
    <w:rPr>
      <w:rFonts w:ascii="Times New Roman" w:hAnsi="Times New Roman" w:cs="Times New Roman"/>
      <w:color w:val="000000"/>
      <w:sz w:val="18"/>
    </w:rPr>
  </w:style>
  <w:style w:type="paragraph" w:styleId="a4">
    <w:name w:val="Body Text"/>
    <w:basedOn w:val="a"/>
    <w:uiPriority w:val="99"/>
    <w:unhideWhenUsed/>
    <w:qFormat/>
    <w:pPr>
      <w:spacing w:after="120"/>
    </w:pPr>
  </w:style>
  <w:style w:type="paragraph" w:styleId="a5">
    <w:name w:val="Balloon Text"/>
    <w:basedOn w:val="a"/>
    <w:link w:val="Char"/>
    <w:uiPriority w:val="99"/>
    <w:semiHidden/>
    <w:qFormat/>
    <w:rPr>
      <w:sz w:val="18"/>
      <w:szCs w:val="18"/>
    </w:rPr>
  </w:style>
  <w:style w:type="paragraph" w:styleId="a6">
    <w:name w:val="footer"/>
    <w:basedOn w:val="a"/>
    <w:link w:val="Char0"/>
    <w:uiPriority w:val="99"/>
    <w:qFormat/>
    <w:pPr>
      <w:tabs>
        <w:tab w:val="center" w:pos="4153"/>
        <w:tab w:val="right" w:pos="8306"/>
      </w:tabs>
      <w:snapToGrid w:val="0"/>
      <w:jc w:val="left"/>
    </w:pPr>
    <w:rPr>
      <w:kern w:val="0"/>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kern w:val="0"/>
      <w:sz w:val="18"/>
      <w:szCs w:val="18"/>
    </w:rPr>
  </w:style>
  <w:style w:type="character" w:styleId="a8">
    <w:name w:val="Strong"/>
    <w:basedOn w:val="a1"/>
    <w:uiPriority w:val="99"/>
    <w:qFormat/>
    <w:locked/>
    <w:rPr>
      <w:b/>
      <w:bCs/>
    </w:rPr>
  </w:style>
  <w:style w:type="character" w:styleId="a9">
    <w:name w:val="page number"/>
    <w:basedOn w:val="a1"/>
    <w:uiPriority w:val="99"/>
    <w:qFormat/>
  </w:style>
  <w:style w:type="character" w:styleId="aa">
    <w:name w:val="Emphasis"/>
    <w:basedOn w:val="a1"/>
    <w:uiPriority w:val="99"/>
    <w:qFormat/>
    <w:locked/>
    <w:rPr>
      <w:i/>
      <w:iCs/>
    </w:rPr>
  </w:style>
  <w:style w:type="character" w:styleId="ab">
    <w:name w:val="Hyperlink"/>
    <w:basedOn w:val="a1"/>
    <w:uiPriority w:val="99"/>
    <w:qFormat/>
    <w:rPr>
      <w:color w:val="000000"/>
      <w:u w:val="none"/>
    </w:rPr>
  </w:style>
  <w:style w:type="character" w:customStyle="1" w:styleId="Char">
    <w:name w:val="批注框文本 Char"/>
    <w:basedOn w:val="a1"/>
    <w:link w:val="a5"/>
    <w:uiPriority w:val="99"/>
    <w:semiHidden/>
    <w:qFormat/>
    <w:locked/>
    <w:rPr>
      <w:kern w:val="2"/>
      <w:sz w:val="18"/>
      <w:szCs w:val="18"/>
    </w:rPr>
  </w:style>
  <w:style w:type="character" w:customStyle="1" w:styleId="Char0">
    <w:name w:val="页脚 Char"/>
    <w:basedOn w:val="a1"/>
    <w:link w:val="a6"/>
    <w:uiPriority w:val="99"/>
    <w:qFormat/>
    <w:locked/>
    <w:rPr>
      <w:sz w:val="18"/>
      <w:szCs w:val="18"/>
    </w:rPr>
  </w:style>
  <w:style w:type="character" w:customStyle="1" w:styleId="Char1">
    <w:name w:val="页眉 Char"/>
    <w:basedOn w:val="a1"/>
    <w:link w:val="a7"/>
    <w:uiPriority w:val="99"/>
    <w:qFormat/>
    <w:locked/>
    <w:rPr>
      <w:sz w:val="18"/>
      <w:szCs w:val="18"/>
    </w:rPr>
  </w:style>
  <w:style w:type="paragraph" w:customStyle="1" w:styleId="CharCharCharChar">
    <w:name w:val="Char Char Char Char"/>
    <w:basedOn w:val="a"/>
    <w:uiPriority w:val="99"/>
    <w:qFormat/>
    <w:rPr>
      <w:rFonts w:ascii="宋体" w:eastAsia="仿宋_GB2312" w:hAnsi="宋体" w:cs="宋体"/>
      <w:sz w:val="32"/>
      <w:szCs w:val="32"/>
    </w:rPr>
  </w:style>
  <w:style w:type="character" w:customStyle="1" w:styleId="CharChar">
    <w:name w:val="Char Char"/>
    <w:uiPriority w:val="99"/>
    <w:qFormat/>
    <w:locked/>
    <w:rPr>
      <w:rFonts w:eastAsia="仿宋_GB2312"/>
      <w:kern w:val="2"/>
      <w:sz w:val="18"/>
      <w:szCs w:val="18"/>
    </w:rPr>
  </w:style>
  <w:style w:type="paragraph" w:styleId="ac">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semiHidden="0" w:uiPriority="0"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qFormat="1"/>
    <w:lsdException w:name="Subtitle" w:locked="1" w:semiHidden="0" w:uiPriority="0" w:unhideWhenUsed="0" w:qFormat="1"/>
    <w:lsdException w:name="Hyperlink" w:semiHidden="0" w:unhideWhenUsed="0" w:qFormat="1"/>
    <w:lsdException w:name="Strong" w:locked="1" w:semiHidden="0" w:unhideWhenUsed="0" w:qFormat="1"/>
    <w:lsdException w:name="Emphasis" w:locked="1"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qFormat/>
    <w:pPr>
      <w:autoSpaceDE w:val="0"/>
      <w:autoSpaceDN w:val="0"/>
      <w:adjustRightInd w:val="0"/>
      <w:snapToGrid w:val="0"/>
      <w:spacing w:line="357" w:lineRule="atLeast"/>
      <w:jc w:val="left"/>
    </w:pPr>
    <w:rPr>
      <w:rFonts w:ascii="Times New Roman" w:hAnsi="Times New Roman" w:cs="Times New Roman"/>
      <w:color w:val="000000"/>
      <w:sz w:val="18"/>
    </w:rPr>
  </w:style>
  <w:style w:type="paragraph" w:styleId="a4">
    <w:name w:val="Body Text"/>
    <w:basedOn w:val="a"/>
    <w:uiPriority w:val="99"/>
    <w:unhideWhenUsed/>
    <w:qFormat/>
    <w:pPr>
      <w:spacing w:after="120"/>
    </w:pPr>
  </w:style>
  <w:style w:type="paragraph" w:styleId="a5">
    <w:name w:val="Balloon Text"/>
    <w:basedOn w:val="a"/>
    <w:link w:val="Char"/>
    <w:uiPriority w:val="99"/>
    <w:semiHidden/>
    <w:qFormat/>
    <w:rPr>
      <w:sz w:val="18"/>
      <w:szCs w:val="18"/>
    </w:rPr>
  </w:style>
  <w:style w:type="paragraph" w:styleId="a6">
    <w:name w:val="footer"/>
    <w:basedOn w:val="a"/>
    <w:link w:val="Char0"/>
    <w:uiPriority w:val="99"/>
    <w:qFormat/>
    <w:pPr>
      <w:tabs>
        <w:tab w:val="center" w:pos="4153"/>
        <w:tab w:val="right" w:pos="8306"/>
      </w:tabs>
      <w:snapToGrid w:val="0"/>
      <w:jc w:val="left"/>
    </w:pPr>
    <w:rPr>
      <w:kern w:val="0"/>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kern w:val="0"/>
      <w:sz w:val="18"/>
      <w:szCs w:val="18"/>
    </w:rPr>
  </w:style>
  <w:style w:type="character" w:styleId="a8">
    <w:name w:val="Strong"/>
    <w:basedOn w:val="a1"/>
    <w:uiPriority w:val="99"/>
    <w:qFormat/>
    <w:locked/>
    <w:rPr>
      <w:b/>
      <w:bCs/>
    </w:rPr>
  </w:style>
  <w:style w:type="character" w:styleId="a9">
    <w:name w:val="page number"/>
    <w:basedOn w:val="a1"/>
    <w:uiPriority w:val="99"/>
    <w:qFormat/>
  </w:style>
  <w:style w:type="character" w:styleId="aa">
    <w:name w:val="Emphasis"/>
    <w:basedOn w:val="a1"/>
    <w:uiPriority w:val="99"/>
    <w:qFormat/>
    <w:locked/>
    <w:rPr>
      <w:i/>
      <w:iCs/>
    </w:rPr>
  </w:style>
  <w:style w:type="character" w:styleId="ab">
    <w:name w:val="Hyperlink"/>
    <w:basedOn w:val="a1"/>
    <w:uiPriority w:val="99"/>
    <w:qFormat/>
    <w:rPr>
      <w:color w:val="000000"/>
      <w:u w:val="none"/>
    </w:rPr>
  </w:style>
  <w:style w:type="character" w:customStyle="1" w:styleId="Char">
    <w:name w:val="批注框文本 Char"/>
    <w:basedOn w:val="a1"/>
    <w:link w:val="a5"/>
    <w:uiPriority w:val="99"/>
    <w:semiHidden/>
    <w:qFormat/>
    <w:locked/>
    <w:rPr>
      <w:kern w:val="2"/>
      <w:sz w:val="18"/>
      <w:szCs w:val="18"/>
    </w:rPr>
  </w:style>
  <w:style w:type="character" w:customStyle="1" w:styleId="Char0">
    <w:name w:val="页脚 Char"/>
    <w:basedOn w:val="a1"/>
    <w:link w:val="a6"/>
    <w:uiPriority w:val="99"/>
    <w:qFormat/>
    <w:locked/>
    <w:rPr>
      <w:sz w:val="18"/>
      <w:szCs w:val="18"/>
    </w:rPr>
  </w:style>
  <w:style w:type="character" w:customStyle="1" w:styleId="Char1">
    <w:name w:val="页眉 Char"/>
    <w:basedOn w:val="a1"/>
    <w:link w:val="a7"/>
    <w:uiPriority w:val="99"/>
    <w:qFormat/>
    <w:locked/>
    <w:rPr>
      <w:sz w:val="18"/>
      <w:szCs w:val="18"/>
    </w:rPr>
  </w:style>
  <w:style w:type="paragraph" w:customStyle="1" w:styleId="CharCharCharChar">
    <w:name w:val="Char Char Char Char"/>
    <w:basedOn w:val="a"/>
    <w:uiPriority w:val="99"/>
    <w:qFormat/>
    <w:rPr>
      <w:rFonts w:ascii="宋体" w:eastAsia="仿宋_GB2312" w:hAnsi="宋体" w:cs="宋体"/>
      <w:sz w:val="32"/>
      <w:szCs w:val="32"/>
    </w:rPr>
  </w:style>
  <w:style w:type="character" w:customStyle="1" w:styleId="CharChar">
    <w:name w:val="Char Char"/>
    <w:uiPriority w:val="99"/>
    <w:qFormat/>
    <w:locked/>
    <w:rPr>
      <w:rFonts w:eastAsia="仿宋_GB2312"/>
      <w:kern w:val="2"/>
      <w:sz w:val="18"/>
      <w:szCs w:val="18"/>
    </w:rPr>
  </w:style>
  <w:style w:type="paragraph" w:styleId="ac">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859</Words>
  <Characters>4900</Characters>
  <Application>Microsoft Office Word</Application>
  <DocSecurity>0</DocSecurity>
  <Lines>40</Lines>
  <Paragraphs>11</Paragraphs>
  <ScaleCrop>false</ScaleCrop>
  <Company>Chinese ORG</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AutoBVT</cp:lastModifiedBy>
  <cp:revision>11</cp:revision>
  <cp:lastPrinted>2021-12-04T15:27:00Z</cp:lastPrinted>
  <dcterms:created xsi:type="dcterms:W3CDTF">2023-01-17T08:43:00Z</dcterms:created>
  <dcterms:modified xsi:type="dcterms:W3CDTF">2023-01-20T01:51:00Z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